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43" w:rsidRPr="00A7756F" w:rsidRDefault="00447543" w:rsidP="00447543">
      <w:pPr>
        <w:spacing w:line="480" w:lineRule="auto"/>
        <w:jc w:val="both"/>
        <w:rPr>
          <w:rFonts w:ascii="Arial" w:hAnsi="Arial" w:cs="Arial"/>
        </w:rPr>
      </w:pPr>
      <w:r w:rsidRPr="00A7756F">
        <w:rPr>
          <w:rFonts w:ascii="Arial" w:hAnsi="Arial" w:cs="Arial"/>
          <w:b/>
        </w:rPr>
        <w:t xml:space="preserve">S1 Table. The alpha test of 52 drug combinations used against </w:t>
      </w:r>
      <w:r w:rsidRPr="00A7756F">
        <w:rPr>
          <w:rFonts w:ascii="Arial" w:hAnsi="Arial" w:cs="Arial"/>
          <w:b/>
          <w:i/>
        </w:rPr>
        <w:t>P. aeruginosa</w:t>
      </w:r>
      <w:r w:rsidRPr="00A7756F">
        <w:rPr>
          <w:rFonts w:ascii="Arial" w:hAnsi="Arial" w:cs="Arial"/>
          <w:b/>
        </w:rPr>
        <w:t>.</w:t>
      </w:r>
      <w:r w:rsidRPr="00A7756F">
        <w:rPr>
          <w:rFonts w:ascii="Arial" w:hAnsi="Arial" w:cs="Arial"/>
        </w:rPr>
        <w:t xml:space="preserve"> </w:t>
      </w:r>
    </w:p>
    <w:tbl>
      <w:tblPr>
        <w:tblW w:w="0" w:type="auto"/>
        <w:tblInd w:w="78" w:type="dxa"/>
        <w:tblLook w:val="0000" w:firstRow="0" w:lastRow="0" w:firstColumn="0" w:lastColumn="0" w:noHBand="0" w:noVBand="0"/>
      </w:tblPr>
      <w:tblGrid>
        <w:gridCol w:w="787"/>
        <w:gridCol w:w="787"/>
        <w:gridCol w:w="727"/>
        <w:gridCol w:w="1043"/>
        <w:gridCol w:w="667"/>
      </w:tblGrid>
      <w:tr w:rsidR="00447543" w:rsidRPr="00A7756F" w:rsidTr="004F5095">
        <w:trPr>
          <w:trHeight w:val="320"/>
        </w:trPr>
        <w:tc>
          <w:tcPr>
            <w:tcW w:w="0" w:type="auto"/>
            <w:tcBorders>
              <w:top w:val="single" w:sz="18" w:space="0" w:color="auto"/>
              <w:left w:val="nil"/>
              <w:bottom w:val="single" w:sz="8" w:space="0" w:color="auto"/>
              <w:right w:val="nil"/>
            </w:tcBorders>
          </w:tcPr>
          <w:p w:rsidR="00447543" w:rsidRPr="00A7756F" w:rsidRDefault="00447543" w:rsidP="004F5095">
            <w:pPr>
              <w:widowControl w:val="0"/>
              <w:autoSpaceDE w:val="0"/>
              <w:autoSpaceDN w:val="0"/>
              <w:adjustRightInd w:val="0"/>
              <w:rPr>
                <w:rFonts w:ascii="Arial" w:hAnsi="Arial" w:cs="Fuente de cuerpo"/>
                <w:b/>
                <w:color w:val="000000"/>
                <w:sz w:val="18"/>
                <w:szCs w:val="18"/>
              </w:rPr>
            </w:pPr>
            <w:r w:rsidRPr="00A7756F">
              <w:rPr>
                <w:rFonts w:ascii="Arial" w:hAnsi="Arial" w:cs="Fuente de cuerpo"/>
                <w:b/>
                <w:color w:val="000000"/>
                <w:sz w:val="18"/>
                <w:szCs w:val="18"/>
              </w:rPr>
              <w:t>Drug 1</w:t>
            </w:r>
          </w:p>
        </w:tc>
        <w:tc>
          <w:tcPr>
            <w:tcW w:w="0" w:type="auto"/>
            <w:tcBorders>
              <w:top w:val="single" w:sz="18" w:space="0" w:color="auto"/>
              <w:left w:val="nil"/>
              <w:bottom w:val="single" w:sz="8" w:space="0" w:color="auto"/>
              <w:right w:val="nil"/>
            </w:tcBorders>
          </w:tcPr>
          <w:p w:rsidR="00447543" w:rsidRPr="00A7756F" w:rsidRDefault="00447543" w:rsidP="004F5095">
            <w:pPr>
              <w:widowControl w:val="0"/>
              <w:autoSpaceDE w:val="0"/>
              <w:autoSpaceDN w:val="0"/>
              <w:adjustRightInd w:val="0"/>
              <w:rPr>
                <w:rFonts w:ascii="Arial" w:hAnsi="Arial" w:cs="Fuente de cuerpo"/>
                <w:b/>
                <w:color w:val="000000"/>
                <w:sz w:val="18"/>
                <w:szCs w:val="18"/>
              </w:rPr>
            </w:pPr>
            <w:r w:rsidRPr="00A7756F">
              <w:rPr>
                <w:rFonts w:ascii="Arial" w:hAnsi="Arial" w:cs="Fuente de cuerpo"/>
                <w:b/>
                <w:color w:val="000000"/>
                <w:sz w:val="18"/>
                <w:szCs w:val="18"/>
              </w:rPr>
              <w:t>Drug 2</w:t>
            </w:r>
          </w:p>
        </w:tc>
        <w:tc>
          <w:tcPr>
            <w:tcW w:w="0" w:type="auto"/>
            <w:tcBorders>
              <w:top w:val="single" w:sz="18" w:space="0" w:color="auto"/>
              <w:left w:val="nil"/>
              <w:bottom w:val="single" w:sz="8" w:space="0" w:color="auto"/>
              <w:right w:val="nil"/>
            </w:tcBorders>
          </w:tcPr>
          <w:p w:rsidR="00447543" w:rsidRPr="00A7756F" w:rsidRDefault="00447543" w:rsidP="004F5095">
            <w:pPr>
              <w:widowControl w:val="0"/>
              <w:autoSpaceDE w:val="0"/>
              <w:autoSpaceDN w:val="0"/>
              <w:adjustRightInd w:val="0"/>
              <w:rPr>
                <w:rFonts w:ascii="Arial" w:hAnsi="Arial" w:cs="Fuente de cuerpo"/>
                <w:b/>
                <w:color w:val="000000"/>
                <w:sz w:val="18"/>
                <w:szCs w:val="18"/>
              </w:rPr>
            </w:pPr>
            <w:r w:rsidRPr="00A7756F">
              <w:rPr>
                <w:rFonts w:ascii="Arial" w:hAnsi="Arial" w:cs="Fuente de cuerpo"/>
                <w:b/>
                <w:color w:val="000000"/>
                <w:sz w:val="18"/>
                <w:szCs w:val="18"/>
              </w:rPr>
              <w:t>Alpha</w:t>
            </w:r>
          </w:p>
        </w:tc>
        <w:tc>
          <w:tcPr>
            <w:tcW w:w="0" w:type="auto"/>
            <w:tcBorders>
              <w:top w:val="single" w:sz="18" w:space="0" w:color="auto"/>
              <w:left w:val="nil"/>
              <w:bottom w:val="single" w:sz="8" w:space="0" w:color="auto"/>
              <w:right w:val="nil"/>
            </w:tcBorders>
          </w:tcPr>
          <w:p w:rsidR="00447543" w:rsidRPr="00A7756F" w:rsidRDefault="00447543" w:rsidP="004F5095">
            <w:pPr>
              <w:widowControl w:val="0"/>
              <w:autoSpaceDE w:val="0"/>
              <w:autoSpaceDN w:val="0"/>
              <w:adjustRightInd w:val="0"/>
              <w:rPr>
                <w:rFonts w:ascii="Arial" w:hAnsi="Arial" w:cs="Fuente de cuerpo"/>
                <w:b/>
                <w:color w:val="000000"/>
                <w:sz w:val="18"/>
                <w:szCs w:val="18"/>
              </w:rPr>
            </w:pPr>
            <w:r w:rsidRPr="00A7756F">
              <w:rPr>
                <w:rFonts w:ascii="Arial" w:hAnsi="Arial" w:cs="Fuente de cuerpo"/>
                <w:b/>
                <w:i/>
                <w:color w:val="000000"/>
                <w:sz w:val="18"/>
                <w:szCs w:val="18"/>
              </w:rPr>
              <w:t>P</w:t>
            </w:r>
            <w:r w:rsidRPr="00A7756F">
              <w:rPr>
                <w:rFonts w:ascii="Arial" w:hAnsi="Arial" w:cs="Fuente de cuerpo"/>
                <w:b/>
                <w:color w:val="000000"/>
                <w:sz w:val="18"/>
                <w:szCs w:val="18"/>
              </w:rPr>
              <w:t xml:space="preserve"> (alpha)</w:t>
            </w:r>
            <w:r w:rsidRPr="00083C5E">
              <w:rPr>
                <w:rFonts w:ascii="Arial" w:hAnsi="Arial" w:cs="Fuente de cuerpo"/>
                <w:b/>
                <w:color w:val="000000"/>
                <w:sz w:val="18"/>
                <w:szCs w:val="18"/>
                <w:vertAlign w:val="superscript"/>
              </w:rPr>
              <w:t>a</w:t>
            </w:r>
          </w:p>
        </w:tc>
        <w:tc>
          <w:tcPr>
            <w:tcW w:w="0" w:type="auto"/>
            <w:tcBorders>
              <w:top w:val="single" w:sz="18" w:space="0" w:color="auto"/>
              <w:left w:val="nil"/>
              <w:bottom w:val="single" w:sz="8" w:space="0" w:color="auto"/>
              <w:right w:val="nil"/>
            </w:tcBorders>
          </w:tcPr>
          <w:p w:rsidR="00447543" w:rsidRPr="00A7756F" w:rsidRDefault="00447543" w:rsidP="004F5095">
            <w:pPr>
              <w:widowControl w:val="0"/>
              <w:autoSpaceDE w:val="0"/>
              <w:autoSpaceDN w:val="0"/>
              <w:adjustRightInd w:val="0"/>
              <w:rPr>
                <w:rFonts w:ascii="Arial" w:hAnsi="Arial" w:cs="Fuente de cuerpo"/>
                <w:b/>
                <w:color w:val="000000"/>
                <w:sz w:val="18"/>
                <w:szCs w:val="18"/>
              </w:rPr>
            </w:pPr>
            <w:r w:rsidRPr="00A7756F">
              <w:rPr>
                <w:rFonts w:ascii="Arial" w:hAnsi="Arial" w:cs="Fuente de cuerpo"/>
                <w:b/>
                <w:color w:val="000000"/>
                <w:sz w:val="18"/>
                <w:szCs w:val="18"/>
              </w:rPr>
              <w:t>SE</w:t>
            </w:r>
            <w:r w:rsidRPr="00083C5E">
              <w:rPr>
                <w:rFonts w:ascii="Arial" w:hAnsi="Arial" w:cs="Fuente de cuerpo"/>
                <w:b/>
                <w:color w:val="000000"/>
                <w:sz w:val="18"/>
                <w:szCs w:val="18"/>
                <w:vertAlign w:val="superscript"/>
              </w:rPr>
              <w:t>b</w:t>
            </w:r>
          </w:p>
        </w:tc>
      </w:tr>
      <w:tr w:rsidR="00447543" w:rsidRPr="00A7756F" w:rsidTr="004F5095">
        <w:trPr>
          <w:trHeight w:val="320"/>
        </w:trPr>
        <w:tc>
          <w:tcPr>
            <w:tcW w:w="0" w:type="auto"/>
            <w:tcBorders>
              <w:top w:val="single" w:sz="8" w:space="0" w:color="auto"/>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single" w:sz="8" w:space="0" w:color="auto"/>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single" w:sz="8" w:space="0" w:color="auto"/>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0.088</w:t>
            </w:r>
          </w:p>
        </w:tc>
        <w:tc>
          <w:tcPr>
            <w:tcW w:w="0" w:type="auto"/>
            <w:tcBorders>
              <w:top w:val="single" w:sz="8" w:space="0" w:color="auto"/>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0.066</w:t>
            </w:r>
          </w:p>
        </w:tc>
        <w:tc>
          <w:tcPr>
            <w:tcW w:w="0" w:type="auto"/>
            <w:tcBorders>
              <w:top w:val="single" w:sz="8" w:space="0" w:color="auto"/>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0.047</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0.004</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0.018</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CEZ</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0.002</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0.942</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0.025</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-0.147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0.056</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0.208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0.176</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0.066</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0.067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0.035</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0.137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0.036</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-0.100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0.083</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0.057</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AZL</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TOB</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0.151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0.039</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0.047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0.012</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0.018</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-0.169</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0.016</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-0.004</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0.737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0.222</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0.023</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IMI</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0.186</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0.023</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0.680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0.019</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0.231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0.017</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-0.182</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-0.014</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0.314</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0.013</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0.156</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0.025</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IMI</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0.085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0.135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0.014</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0.157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0.017</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-0.012</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0.605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-0.327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IMI</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-0.094</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0.025</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-0.397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0.024</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0.198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0.020</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IMI</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0.184</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IMI</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-0.221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-0.168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0.026</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-0.029</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0.127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IMI</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0.171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0.027</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0.121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0.010</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0.150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0.020</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IMI</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-0.229</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-0.145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0.039</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lastRenderedPageBreak/>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-0.208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0.063</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CEZ</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-0.056</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0.089</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0.033</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-0.043</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0.170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0.143</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0.041</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GEN</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0.175</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0.032</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0.490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0.014</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STR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0.178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0.036</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TIC</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TOB</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0.169</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0.025</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CIP</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TOB</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-0.490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&lt;0.001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0.055</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CEZ</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CAR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0.012</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0.740</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0.036</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CEF</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CEZ</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0.047</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0.291</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0.044</w:t>
            </w:r>
          </w:p>
        </w:tc>
      </w:tr>
      <w:tr w:rsidR="00447543" w:rsidRPr="00A7756F" w:rsidTr="004F5095">
        <w:trPr>
          <w:trHeight w:val="320"/>
        </w:trPr>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DOR</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CEZ</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-0.008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0.868</w:t>
            </w:r>
          </w:p>
        </w:tc>
        <w:tc>
          <w:tcPr>
            <w:tcW w:w="0" w:type="auto"/>
            <w:tcBorders>
              <w:top w:val="nil"/>
              <w:left w:val="nil"/>
              <w:bottom w:val="nil"/>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0.051</w:t>
            </w:r>
          </w:p>
        </w:tc>
      </w:tr>
      <w:tr w:rsidR="00447543" w:rsidRPr="00A7756F" w:rsidTr="004F5095">
        <w:trPr>
          <w:trHeight w:val="320"/>
        </w:trPr>
        <w:tc>
          <w:tcPr>
            <w:tcW w:w="0" w:type="auto"/>
            <w:tcBorders>
              <w:top w:val="nil"/>
              <w:left w:val="nil"/>
              <w:bottom w:val="single" w:sz="18" w:space="0" w:color="auto"/>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CEZ</w:t>
            </w:r>
          </w:p>
        </w:tc>
        <w:tc>
          <w:tcPr>
            <w:tcW w:w="0" w:type="auto"/>
            <w:tcBorders>
              <w:top w:val="nil"/>
              <w:left w:val="nil"/>
              <w:bottom w:val="single" w:sz="18" w:space="0" w:color="auto"/>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PIT</w:t>
            </w:r>
          </w:p>
        </w:tc>
        <w:tc>
          <w:tcPr>
            <w:tcW w:w="0" w:type="auto"/>
            <w:tcBorders>
              <w:top w:val="nil"/>
              <w:left w:val="nil"/>
              <w:bottom w:val="single" w:sz="18" w:space="0" w:color="auto"/>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0.116</w:t>
            </w:r>
          </w:p>
        </w:tc>
        <w:tc>
          <w:tcPr>
            <w:tcW w:w="0" w:type="auto"/>
            <w:tcBorders>
              <w:top w:val="nil"/>
              <w:left w:val="nil"/>
              <w:bottom w:val="single" w:sz="18" w:space="0" w:color="auto"/>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0.032</w:t>
            </w:r>
          </w:p>
        </w:tc>
        <w:tc>
          <w:tcPr>
            <w:tcW w:w="0" w:type="auto"/>
            <w:tcBorders>
              <w:top w:val="nil"/>
              <w:left w:val="nil"/>
              <w:bottom w:val="single" w:sz="18" w:space="0" w:color="auto"/>
              <w:right w:val="nil"/>
            </w:tcBorders>
          </w:tcPr>
          <w:p w:rsidR="00447543" w:rsidRPr="00A7756F" w:rsidRDefault="00447543" w:rsidP="004F5095">
            <w:pPr>
              <w:widowControl w:val="0"/>
              <w:autoSpaceDE w:val="0"/>
              <w:autoSpaceDN w:val="0"/>
              <w:adjustRightInd w:val="0"/>
              <w:rPr>
                <w:rFonts w:ascii="Arial" w:hAnsi="Arial" w:cs="Fuente de cuerpo"/>
                <w:color w:val="000000"/>
                <w:sz w:val="18"/>
                <w:szCs w:val="18"/>
              </w:rPr>
            </w:pPr>
            <w:r w:rsidRPr="00A7756F">
              <w:rPr>
                <w:rFonts w:ascii="Arial" w:hAnsi="Arial" w:cs="Fuente de cuerpo"/>
                <w:color w:val="000000"/>
                <w:sz w:val="18"/>
                <w:szCs w:val="18"/>
              </w:rPr>
              <w:t>0.053</w:t>
            </w:r>
          </w:p>
        </w:tc>
      </w:tr>
    </w:tbl>
    <w:p w:rsidR="00447543" w:rsidRDefault="00447543" w:rsidP="00447543">
      <w:pPr>
        <w:spacing w:line="480" w:lineRule="auto"/>
        <w:jc w:val="both"/>
        <w:rPr>
          <w:rFonts w:ascii="Arial" w:hAnsi="Arial" w:cs="Arial"/>
          <w:sz w:val="18"/>
        </w:rPr>
      </w:pPr>
      <w:r w:rsidRPr="00C403C2">
        <w:rPr>
          <w:rFonts w:ascii="Arial" w:hAnsi="Arial" w:cs="Arial"/>
          <w:sz w:val="18"/>
        </w:rPr>
        <w:t>A quadratic model was fit to observed growth data after 12 h of incubation at 37˚C. The first parameter of the model (alpha) was used to determine significance of synergism or antagonism between any two drugs. Positive values of alpha indicate synergism whereas negative values represent antagonisms. Values of alpha not significantly different from 0 (</w:t>
      </w:r>
      <w:r w:rsidRPr="00C403C2">
        <w:rPr>
          <w:rFonts w:ascii="Arial" w:hAnsi="Arial" w:cs="Arial"/>
          <w:i/>
          <w:sz w:val="18"/>
        </w:rPr>
        <w:t>P</w:t>
      </w:r>
      <w:r w:rsidRPr="00C403C2">
        <w:rPr>
          <w:rFonts w:ascii="Arial" w:hAnsi="Arial" w:cs="Arial"/>
          <w:sz w:val="18"/>
        </w:rPr>
        <w:t xml:space="preserve"> alpha) are considered as additive interactions.</w:t>
      </w:r>
    </w:p>
    <w:p w:rsidR="00447543" w:rsidRPr="00C403C2" w:rsidRDefault="00447543" w:rsidP="00447543">
      <w:pPr>
        <w:spacing w:line="480" w:lineRule="auto"/>
        <w:jc w:val="both"/>
        <w:rPr>
          <w:rFonts w:ascii="Arial" w:hAnsi="Arial" w:cs="Arial"/>
          <w:i/>
          <w:sz w:val="12"/>
          <w:szCs w:val="18"/>
        </w:rPr>
      </w:pPr>
    </w:p>
    <w:p w:rsidR="00447543" w:rsidRPr="00A7756F" w:rsidRDefault="00447543" w:rsidP="00447543">
      <w:pPr>
        <w:spacing w:line="480" w:lineRule="auto"/>
        <w:jc w:val="both"/>
        <w:rPr>
          <w:rFonts w:ascii="Arial" w:hAnsi="Arial" w:cs="Arial"/>
          <w:sz w:val="18"/>
          <w:szCs w:val="18"/>
        </w:rPr>
      </w:pPr>
      <w:r w:rsidRPr="00083C5E">
        <w:rPr>
          <w:rFonts w:ascii="Arial" w:hAnsi="Arial" w:cs="Arial"/>
          <w:sz w:val="18"/>
          <w:szCs w:val="18"/>
          <w:vertAlign w:val="superscript"/>
        </w:rPr>
        <w:t>a</w:t>
      </w:r>
      <w:r>
        <w:rPr>
          <w:rFonts w:ascii="Arial" w:hAnsi="Arial" w:cs="Arial"/>
          <w:sz w:val="18"/>
          <w:szCs w:val="18"/>
          <w:vertAlign w:val="superscript"/>
        </w:rPr>
        <w:t xml:space="preserve"> </w:t>
      </w:r>
      <w:r w:rsidRPr="00A7756F">
        <w:rPr>
          <w:rFonts w:ascii="Arial" w:hAnsi="Arial" w:cs="Arial"/>
          <w:i/>
          <w:sz w:val="18"/>
          <w:szCs w:val="18"/>
        </w:rPr>
        <w:t>P</w:t>
      </w:r>
      <w:r w:rsidRPr="00A7756F">
        <w:rPr>
          <w:rFonts w:ascii="Arial" w:hAnsi="Arial" w:cs="Arial"/>
          <w:sz w:val="18"/>
          <w:szCs w:val="18"/>
        </w:rPr>
        <w:t>: P-values obtained from a one-sample t-student test (µ=0) of alpha.</w:t>
      </w:r>
    </w:p>
    <w:p w:rsidR="00061AEE" w:rsidRDefault="00447543" w:rsidP="00447543">
      <w:r w:rsidRPr="00083C5E">
        <w:rPr>
          <w:rFonts w:ascii="Arial" w:hAnsi="Arial" w:cs="Arial"/>
          <w:sz w:val="18"/>
          <w:szCs w:val="18"/>
          <w:vertAlign w:val="superscript"/>
        </w:rPr>
        <w:t>b</w:t>
      </w:r>
      <w:r>
        <w:rPr>
          <w:rFonts w:ascii="Arial" w:hAnsi="Arial" w:cs="Arial"/>
          <w:sz w:val="18"/>
          <w:szCs w:val="18"/>
          <w:vertAlign w:val="superscript"/>
        </w:rPr>
        <w:t xml:space="preserve"> </w:t>
      </w:r>
      <w:r w:rsidRPr="00A7756F">
        <w:rPr>
          <w:rFonts w:ascii="Arial" w:hAnsi="Arial" w:cs="Arial"/>
          <w:sz w:val="18"/>
          <w:szCs w:val="18"/>
        </w:rPr>
        <w:t>SE: Standard error of the parameter alpha.</w:t>
      </w:r>
      <w:bookmarkStart w:id="0" w:name="_GoBack"/>
      <w:bookmarkEnd w:id="0"/>
    </w:p>
    <w:sectPr w:rsidR="00061AEE" w:rsidSect="00061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uente de cuerpo">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43"/>
    <w:rsid w:val="00061AEE"/>
    <w:rsid w:val="00447543"/>
    <w:rsid w:val="00D1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C0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6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6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6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6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Barbosa</dc:creator>
  <cp:keywords/>
  <dc:description/>
  <cp:lastModifiedBy>Camilo Barbosa</cp:lastModifiedBy>
  <cp:revision>1</cp:revision>
  <dcterms:created xsi:type="dcterms:W3CDTF">2017-08-30T13:51:00Z</dcterms:created>
  <dcterms:modified xsi:type="dcterms:W3CDTF">2017-08-30T13:51:00Z</dcterms:modified>
</cp:coreProperties>
</file>