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9B5" w:rsidRPr="003B5EC5" w:rsidRDefault="00EA09B5" w:rsidP="00EA09B5">
      <w:pPr>
        <w:spacing w:line="276" w:lineRule="auto"/>
        <w:jc w:val="center"/>
        <w:rPr>
          <w:rFonts w:ascii="Times New Roman" w:hAnsi="Times New Roman" w:cs="Times New Roman"/>
          <w:b/>
          <w:sz w:val="22"/>
          <w:szCs w:val="22"/>
        </w:rPr>
      </w:pPr>
      <w:r>
        <w:rPr>
          <w:rFonts w:ascii="Times New Roman" w:hAnsi="Times New Roman" w:cs="Times New Roman"/>
          <w:b/>
          <w:sz w:val="22"/>
          <w:szCs w:val="22"/>
        </w:rPr>
        <w:t>S9</w:t>
      </w:r>
      <w:r w:rsidR="00203F50">
        <w:rPr>
          <w:rFonts w:ascii="Times New Roman" w:hAnsi="Times New Roman" w:cs="Times New Roman"/>
          <w:b/>
          <w:sz w:val="22"/>
          <w:szCs w:val="22"/>
        </w:rPr>
        <w:t xml:space="preserve"> Table. Summary of </w:t>
      </w:r>
      <w:r w:rsidRPr="003B5EC5">
        <w:rPr>
          <w:rFonts w:ascii="Times New Roman" w:hAnsi="Times New Roman" w:cs="Times New Roman"/>
          <w:b/>
          <w:sz w:val="22"/>
          <w:szCs w:val="22"/>
        </w:rPr>
        <w:t xml:space="preserve">uORFs </w:t>
      </w:r>
      <w:r w:rsidR="0045564F">
        <w:rPr>
          <w:rFonts w:ascii="Times New Roman" w:hAnsi="Times New Roman" w:cs="Times New Roman"/>
          <w:b/>
          <w:sz w:val="22"/>
          <w:szCs w:val="22"/>
        </w:rPr>
        <w:t xml:space="preserve">that are well transcribed but not translated </w:t>
      </w:r>
      <w:r w:rsidRPr="003B5EC5">
        <w:rPr>
          <w:rFonts w:ascii="Times New Roman" w:hAnsi="Times New Roman" w:cs="Times New Roman"/>
          <w:b/>
          <w:sz w:val="22"/>
          <w:szCs w:val="22"/>
        </w:rPr>
        <w:t>in at least one sample.</w:t>
      </w:r>
    </w:p>
    <w:tbl>
      <w:tblPr>
        <w:tblW w:w="9724" w:type="dxa"/>
        <w:jc w:val="center"/>
        <w:tblLayout w:type="fixed"/>
        <w:tblLook w:val="04A0" w:firstRow="1" w:lastRow="0" w:firstColumn="1" w:lastColumn="0" w:noHBand="0" w:noVBand="1"/>
      </w:tblPr>
      <w:tblGrid>
        <w:gridCol w:w="728"/>
        <w:gridCol w:w="1257"/>
        <w:gridCol w:w="1701"/>
        <w:gridCol w:w="1134"/>
        <w:gridCol w:w="992"/>
        <w:gridCol w:w="851"/>
        <w:gridCol w:w="1134"/>
        <w:gridCol w:w="1020"/>
        <w:gridCol w:w="907"/>
      </w:tblGrid>
      <w:tr w:rsidR="00EA09B5" w:rsidRPr="003B5EC5" w:rsidTr="000E11AB">
        <w:trPr>
          <w:trHeight w:val="300"/>
          <w:jc w:val="center"/>
        </w:trPr>
        <w:tc>
          <w:tcPr>
            <w:tcW w:w="728" w:type="dxa"/>
            <w:vMerge w:val="restart"/>
            <w:tcBorders>
              <w:top w:val="single" w:sz="4" w:space="0" w:color="auto"/>
              <w:left w:val="nil"/>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Class</w:t>
            </w:r>
          </w:p>
        </w:tc>
        <w:tc>
          <w:tcPr>
            <w:tcW w:w="1257" w:type="dxa"/>
            <w:vMerge w:val="restart"/>
            <w:tcBorders>
              <w:top w:val="single" w:sz="4" w:space="0" w:color="auto"/>
              <w:left w:val="nil"/>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 xml:space="preserve">uORFs well </w:t>
            </w:r>
            <w:r w:rsidR="001F2510">
              <w:rPr>
                <w:rFonts w:ascii="Times New Roman" w:eastAsia="Times New Roman" w:hAnsi="Times New Roman" w:cs="Times New Roman" w:hint="eastAsia"/>
                <w:color w:val="000000"/>
                <w:sz w:val="18"/>
                <w:szCs w:val="18"/>
              </w:rPr>
              <w:t>tr</w:t>
            </w:r>
            <w:r w:rsidR="001F2510">
              <w:rPr>
                <w:rFonts w:ascii="Times New Roman" w:eastAsia="Times New Roman" w:hAnsi="Times New Roman" w:cs="Times New Roman"/>
                <w:color w:val="000000"/>
                <w:sz w:val="18"/>
                <w:szCs w:val="18"/>
              </w:rPr>
              <w:t>anscribed</w:t>
            </w:r>
            <w:r w:rsidRPr="003B5EC5">
              <w:rPr>
                <w:rFonts w:ascii="Times New Roman" w:eastAsia="Times New Roman" w:hAnsi="Times New Roman" w:cs="Times New Roman"/>
                <w:color w:val="000000"/>
                <w:sz w:val="18"/>
                <w:szCs w:val="18"/>
              </w:rPr>
              <w:t xml:space="preserve"> in at least one sample</w:t>
            </w:r>
          </w:p>
        </w:tc>
        <w:tc>
          <w:tcPr>
            <w:tcW w:w="1701" w:type="dxa"/>
            <w:vMerge w:val="restart"/>
            <w:tcBorders>
              <w:top w:val="single" w:sz="4" w:space="0" w:color="auto"/>
              <w:left w:val="nil"/>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 xml:space="preserve">uORFs well </w:t>
            </w:r>
            <w:r w:rsidR="00F44F91">
              <w:rPr>
                <w:rFonts w:ascii="Times New Roman" w:eastAsia="Times New Roman" w:hAnsi="Times New Roman" w:cs="Times New Roman"/>
                <w:color w:val="000000"/>
                <w:sz w:val="18"/>
                <w:szCs w:val="18"/>
              </w:rPr>
              <w:t>transcribed</w:t>
            </w:r>
            <w:r w:rsidRPr="003B5EC5">
              <w:rPr>
                <w:rFonts w:ascii="Times New Roman" w:eastAsia="Times New Roman" w:hAnsi="Times New Roman" w:cs="Times New Roman"/>
                <w:color w:val="000000"/>
                <w:sz w:val="18"/>
                <w:szCs w:val="18"/>
              </w:rPr>
              <w:t xml:space="preserve"> with zero RPFs in </w:t>
            </w:r>
            <w:bookmarkStart w:id="0" w:name="_GoBack"/>
            <w:bookmarkEnd w:id="0"/>
            <w:r w:rsidRPr="003B5EC5">
              <w:rPr>
                <w:rFonts w:ascii="Times New Roman" w:eastAsia="Times New Roman" w:hAnsi="Times New Roman" w:cs="Times New Roman"/>
                <w:color w:val="000000"/>
                <w:sz w:val="18"/>
                <w:szCs w:val="18"/>
              </w:rPr>
              <w:t>at least one sample (%)</w:t>
            </w:r>
          </w:p>
        </w:tc>
        <w:tc>
          <w:tcPr>
            <w:tcW w:w="2977" w:type="dxa"/>
            <w:gridSpan w:val="3"/>
            <w:tcBorders>
              <w:top w:val="single" w:sz="4" w:space="0" w:color="auto"/>
              <w:left w:val="nil"/>
              <w:bottom w:val="single" w:sz="4" w:space="0" w:color="auto"/>
              <w:right w:val="nil"/>
            </w:tcBorders>
            <w:shd w:val="clear" w:color="auto" w:fill="auto"/>
            <w:noWrap/>
            <w:vAlign w:val="center"/>
          </w:tcPr>
          <w:p w:rsidR="00EA09B5" w:rsidRPr="00C02463" w:rsidRDefault="00C02463" w:rsidP="000E11AB">
            <w:pPr>
              <w:jc w:val="center"/>
              <w:rPr>
                <w:rFonts w:ascii="Times New Roman" w:eastAsia="Times New Roman" w:hAnsi="Times New Roman" w:cs="Times New Roman"/>
                <w:color w:val="000000"/>
                <w:sz w:val="18"/>
                <w:szCs w:val="18"/>
              </w:rPr>
            </w:pPr>
            <w:r w:rsidRPr="00C02463">
              <w:rPr>
                <w:rFonts w:ascii="Times New Roman" w:eastAsia="Times New Roman" w:hAnsi="Times New Roman" w:cs="Times New Roman"/>
                <w:i/>
                <w:color w:val="000000"/>
                <w:sz w:val="18"/>
                <w:szCs w:val="18"/>
              </w:rPr>
              <w:t>P</w:t>
            </w:r>
            <w:r w:rsidRPr="00C02463">
              <w:rPr>
                <w:rFonts w:ascii="Times New Roman" w:eastAsia="Times New Roman" w:hAnsi="Times New Roman" w:cs="Times New Roman"/>
                <w:i/>
                <w:color w:val="000000"/>
                <w:sz w:val="18"/>
                <w:szCs w:val="18"/>
                <w:vertAlign w:val="subscript"/>
              </w:rPr>
              <w:t>m</w:t>
            </w:r>
            <w:r w:rsidRPr="00C02463">
              <w:rPr>
                <w:rFonts w:ascii="Times New Roman" w:eastAsia="Times New Roman" w:hAnsi="Times New Roman" w:cs="Times New Roman"/>
                <w:color w:val="000000"/>
                <w:sz w:val="18"/>
                <w:szCs w:val="18"/>
              </w:rPr>
              <w:t>(</w:t>
            </w:r>
            <w:r w:rsidRPr="00C02463">
              <w:rPr>
                <w:rFonts w:ascii="Times New Roman" w:eastAsia="Times New Roman" w:hAnsi="Times New Roman" w:cs="Times New Roman"/>
                <w:i/>
                <w:color w:val="000000"/>
                <w:sz w:val="18"/>
                <w:szCs w:val="18"/>
              </w:rPr>
              <w:t>R</w:t>
            </w:r>
            <w:r w:rsidRPr="00C02463">
              <w:rPr>
                <w:rFonts w:ascii="Times New Roman" w:eastAsia="Times New Roman" w:hAnsi="Times New Roman" w:cs="Times New Roman"/>
                <w:i/>
                <w:color w:val="000000"/>
                <w:sz w:val="18"/>
                <w:szCs w:val="18"/>
                <w:vertAlign w:val="subscript"/>
              </w:rPr>
              <w:t>0</w:t>
            </w:r>
            <w:r w:rsidRPr="00C02463">
              <w:rPr>
                <w:rFonts w:ascii="Times New Roman" w:eastAsia="Times New Roman" w:hAnsi="Times New Roman" w:cs="Times New Roman"/>
                <w:color w:val="000000"/>
                <w:sz w:val="18"/>
                <w:szCs w:val="18"/>
              </w:rPr>
              <w:t>)</w:t>
            </w:r>
            <w:r w:rsidRPr="00C02463">
              <w:rPr>
                <w:rFonts w:ascii="Times New Roman" w:eastAsia="Times New Roman" w:hAnsi="Times New Roman" w:cs="Times New Roman"/>
                <w:color w:val="000000"/>
                <w:sz w:val="18"/>
                <w:szCs w:val="18"/>
              </w:rPr>
              <w:t xml:space="preserve"> </w:t>
            </w:r>
            <w:r w:rsidR="00EA09B5" w:rsidRPr="00C02463">
              <w:rPr>
                <w:rFonts w:ascii="Times New Roman" w:eastAsia="Times New Roman" w:hAnsi="Times New Roman" w:cs="Times New Roman"/>
                <w:color w:val="000000"/>
                <w:sz w:val="18"/>
                <w:szCs w:val="18"/>
              </w:rPr>
              <w:t>Fisher’s method</w:t>
            </w:r>
          </w:p>
        </w:tc>
        <w:tc>
          <w:tcPr>
            <w:tcW w:w="3061" w:type="dxa"/>
            <w:gridSpan w:val="3"/>
            <w:tcBorders>
              <w:top w:val="single" w:sz="4" w:space="0" w:color="auto"/>
              <w:left w:val="nil"/>
              <w:bottom w:val="single" w:sz="4" w:space="0" w:color="auto"/>
              <w:right w:val="nil"/>
            </w:tcBorders>
            <w:shd w:val="clear" w:color="auto" w:fill="auto"/>
            <w:noWrap/>
            <w:vAlign w:val="center"/>
          </w:tcPr>
          <w:p w:rsidR="00EA09B5" w:rsidRPr="00C02463" w:rsidRDefault="00C02463" w:rsidP="000E11AB">
            <w:pPr>
              <w:jc w:val="center"/>
              <w:rPr>
                <w:rFonts w:ascii="Times New Roman" w:eastAsia="Times New Roman" w:hAnsi="Times New Roman" w:cs="Times New Roman"/>
                <w:color w:val="000000"/>
                <w:sz w:val="18"/>
                <w:szCs w:val="18"/>
              </w:rPr>
            </w:pPr>
            <w:r w:rsidRPr="00C02463">
              <w:rPr>
                <w:rFonts w:ascii="Times New Roman" w:eastAsia="Times New Roman" w:hAnsi="Times New Roman" w:cs="Times New Roman"/>
                <w:i/>
                <w:color w:val="000000"/>
                <w:sz w:val="18"/>
                <w:szCs w:val="18"/>
              </w:rPr>
              <w:t>P</w:t>
            </w:r>
            <w:r w:rsidRPr="00C02463">
              <w:rPr>
                <w:rFonts w:ascii="Times New Roman" w:eastAsia="Times New Roman" w:hAnsi="Times New Roman" w:cs="Times New Roman"/>
                <w:i/>
                <w:color w:val="000000"/>
                <w:sz w:val="18"/>
                <w:szCs w:val="18"/>
                <w:vertAlign w:val="subscript"/>
              </w:rPr>
              <w:t>m</w:t>
            </w:r>
            <w:r w:rsidRPr="00C02463">
              <w:rPr>
                <w:rFonts w:ascii="Times New Roman" w:eastAsia="Times New Roman" w:hAnsi="Times New Roman" w:cs="Times New Roman"/>
                <w:color w:val="000000"/>
                <w:sz w:val="18"/>
                <w:szCs w:val="18"/>
              </w:rPr>
              <w:t>(</w:t>
            </w:r>
            <w:r w:rsidRPr="00C02463">
              <w:rPr>
                <w:rFonts w:ascii="Times New Roman" w:eastAsia="Times New Roman" w:hAnsi="Times New Roman" w:cs="Times New Roman"/>
                <w:i/>
                <w:color w:val="000000"/>
                <w:sz w:val="18"/>
                <w:szCs w:val="18"/>
              </w:rPr>
              <w:t>R</w:t>
            </w:r>
            <w:r w:rsidRPr="00C02463">
              <w:rPr>
                <w:rFonts w:ascii="Times New Roman" w:eastAsia="Times New Roman" w:hAnsi="Times New Roman" w:cs="Times New Roman"/>
                <w:i/>
                <w:color w:val="000000"/>
                <w:sz w:val="18"/>
                <w:szCs w:val="18"/>
                <w:vertAlign w:val="subscript"/>
              </w:rPr>
              <w:t>0</w:t>
            </w:r>
            <w:r w:rsidRPr="00C02463">
              <w:rPr>
                <w:rFonts w:ascii="Times New Roman" w:eastAsia="Times New Roman" w:hAnsi="Times New Roman" w:cs="Times New Roman"/>
                <w:color w:val="000000"/>
                <w:sz w:val="18"/>
                <w:szCs w:val="18"/>
              </w:rPr>
              <w:t>)</w:t>
            </w:r>
            <w:r w:rsidRPr="00C02463">
              <w:rPr>
                <w:rFonts w:ascii="Times New Roman" w:eastAsia="Times New Roman" w:hAnsi="Times New Roman" w:cs="Times New Roman"/>
                <w:color w:val="000000"/>
                <w:sz w:val="18"/>
                <w:szCs w:val="18"/>
              </w:rPr>
              <w:t xml:space="preserve"> </w:t>
            </w:r>
            <w:r w:rsidR="00EA09B5" w:rsidRPr="00C02463">
              <w:rPr>
                <w:rFonts w:ascii="Times New Roman" w:eastAsia="Times New Roman" w:hAnsi="Times New Roman" w:cs="Times New Roman"/>
                <w:color w:val="000000"/>
                <w:sz w:val="18"/>
                <w:szCs w:val="18"/>
              </w:rPr>
              <w:t>Pooling method</w:t>
            </w:r>
          </w:p>
        </w:tc>
      </w:tr>
      <w:tr w:rsidR="00EA09B5" w:rsidRPr="003B5EC5" w:rsidTr="000E11AB">
        <w:trPr>
          <w:trHeight w:val="300"/>
          <w:jc w:val="center"/>
        </w:trPr>
        <w:tc>
          <w:tcPr>
            <w:tcW w:w="728" w:type="dxa"/>
            <w:vMerge/>
            <w:tcBorders>
              <w:left w:val="nil"/>
              <w:bottom w:val="single" w:sz="4" w:space="0" w:color="auto"/>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p>
        </w:tc>
        <w:tc>
          <w:tcPr>
            <w:tcW w:w="1257" w:type="dxa"/>
            <w:vMerge/>
            <w:tcBorders>
              <w:left w:val="nil"/>
              <w:bottom w:val="single" w:sz="4" w:space="0" w:color="auto"/>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p>
        </w:tc>
        <w:tc>
          <w:tcPr>
            <w:tcW w:w="1701" w:type="dxa"/>
            <w:vMerge/>
            <w:tcBorders>
              <w:left w:val="nil"/>
              <w:bottom w:val="single" w:sz="4" w:space="0" w:color="auto"/>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i/>
                <w:color w:val="000000"/>
                <w:sz w:val="18"/>
                <w:szCs w:val="18"/>
              </w:rPr>
              <w:t>H</w:t>
            </w:r>
            <w:r w:rsidRPr="003B5EC5">
              <w:rPr>
                <w:rFonts w:ascii="Times New Roman" w:eastAsia="Times New Roman" w:hAnsi="Times New Roman" w:cs="Times New Roman"/>
                <w:i/>
                <w:color w:val="000000"/>
                <w:sz w:val="18"/>
                <w:szCs w:val="18"/>
                <w:vertAlign w:val="subscript"/>
              </w:rPr>
              <w:t>0</w:t>
            </w:r>
            <w:r w:rsidRPr="003B5EC5">
              <w:rPr>
                <w:rFonts w:ascii="Times New Roman" w:eastAsia="Times New Roman" w:hAnsi="Times New Roman" w:cs="Times New Roman"/>
                <w:color w:val="000000"/>
                <w:sz w:val="18"/>
                <w:szCs w:val="18"/>
              </w:rPr>
              <w:t>(</w:t>
            </w:r>
            <w:r w:rsidRPr="003B5EC5">
              <w:rPr>
                <w:rFonts w:ascii="Times New Roman" w:eastAsia="Times New Roman" w:hAnsi="Times New Roman" w:cs="Times New Roman"/>
                <w:i/>
                <w:color w:val="000000"/>
                <w:sz w:val="18"/>
                <w:szCs w:val="18"/>
              </w:rPr>
              <w:t>c</w:t>
            </w:r>
            <w:r w:rsidRPr="003B5EC5">
              <w:rPr>
                <w:rFonts w:ascii="Times New Roman" w:eastAsia="Times New Roman" w:hAnsi="Times New Roman" w:cs="Times New Roman"/>
                <w:color w:val="000000"/>
                <w:sz w:val="18"/>
                <w:szCs w:val="18"/>
              </w:rPr>
              <w:t xml:space="preserve">) </w:t>
            </w:r>
          </w:p>
          <w:p w:rsidR="00EA09B5" w:rsidRPr="003B5EC5" w:rsidRDefault="00EA09B5" w:rsidP="000E11AB">
            <w:pPr>
              <w:jc w:val="center"/>
              <w:rPr>
                <w:rFonts w:ascii="Times New Roman" w:eastAsia="Times New Roman" w:hAnsi="Times New Roman" w:cs="Times New Roman"/>
                <w:i/>
                <w:color w:val="000000"/>
                <w:sz w:val="18"/>
                <w:szCs w:val="18"/>
              </w:rPr>
            </w:pPr>
            <w:r w:rsidRPr="003B5EC5">
              <w:rPr>
                <w:rFonts w:ascii="Times New Roman" w:eastAsia="Times New Roman" w:hAnsi="Times New Roman" w:cs="Times New Roman"/>
                <w:color w:val="000000"/>
                <w:sz w:val="18"/>
                <w:szCs w:val="18"/>
              </w:rPr>
              <w:t>(%*)</w:t>
            </w:r>
          </w:p>
        </w:tc>
        <w:tc>
          <w:tcPr>
            <w:tcW w:w="992" w:type="dxa"/>
            <w:tcBorders>
              <w:top w:val="single" w:sz="4" w:space="0" w:color="auto"/>
              <w:left w:val="nil"/>
              <w:bottom w:val="single" w:sz="4" w:space="0" w:color="auto"/>
              <w:right w:val="nil"/>
            </w:tcBorders>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i/>
                <w:color w:val="000000"/>
                <w:sz w:val="18"/>
                <w:szCs w:val="18"/>
              </w:rPr>
              <w:t>H</w:t>
            </w:r>
            <w:r w:rsidRPr="003B5EC5">
              <w:rPr>
                <w:rFonts w:ascii="Times New Roman" w:eastAsia="Times New Roman" w:hAnsi="Times New Roman" w:cs="Times New Roman"/>
                <w:i/>
                <w:color w:val="000000"/>
                <w:sz w:val="18"/>
                <w:szCs w:val="18"/>
                <w:vertAlign w:val="subscript"/>
              </w:rPr>
              <w:t>0</w:t>
            </w:r>
            <w:r w:rsidRPr="003B5EC5">
              <w:rPr>
                <w:rFonts w:ascii="Times New Roman" w:eastAsia="Times New Roman" w:hAnsi="Times New Roman" w:cs="Times New Roman"/>
                <w:color w:val="000000"/>
                <w:sz w:val="18"/>
                <w:szCs w:val="18"/>
              </w:rPr>
              <w:t>(</w:t>
            </w:r>
            <w:r w:rsidRPr="003B5EC5">
              <w:rPr>
                <w:rFonts w:ascii="Times New Roman" w:eastAsia="Times New Roman" w:hAnsi="Times New Roman" w:cs="Times New Roman"/>
                <w:i/>
                <w:color w:val="000000"/>
                <w:sz w:val="18"/>
                <w:szCs w:val="18"/>
              </w:rPr>
              <w:t>u</w:t>
            </w:r>
            <w:r w:rsidRPr="003B5EC5">
              <w:rPr>
                <w:rFonts w:ascii="Times New Roman" w:eastAsia="Times New Roman" w:hAnsi="Times New Roman" w:cs="Times New Roman"/>
                <w:color w:val="000000"/>
                <w:sz w:val="18"/>
                <w:szCs w:val="18"/>
              </w:rPr>
              <w:t>)</w:t>
            </w:r>
          </w:p>
          <w:p w:rsidR="00EA09B5" w:rsidRPr="003B5EC5" w:rsidRDefault="00EB184F" w:rsidP="000E11A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EA09B5" w:rsidRPr="003B5EC5">
              <w:rPr>
                <w:rFonts w:ascii="Times New Roman" w:eastAsia="Times New Roman" w:hAnsi="Times New Roman" w:cs="Times New Roman"/>
                <w:color w:val="000000"/>
                <w:sz w:val="18"/>
                <w:szCs w:val="18"/>
              </w:rPr>
              <w:t>*)</w:t>
            </w:r>
          </w:p>
        </w:tc>
        <w:tc>
          <w:tcPr>
            <w:tcW w:w="851" w:type="dxa"/>
            <w:tcBorders>
              <w:top w:val="single" w:sz="4" w:space="0" w:color="auto"/>
              <w:left w:val="nil"/>
              <w:bottom w:val="single" w:sz="4" w:space="0" w:color="auto"/>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i/>
                <w:color w:val="000000"/>
                <w:sz w:val="18"/>
                <w:szCs w:val="18"/>
              </w:rPr>
              <w:t>H</w:t>
            </w:r>
            <w:r w:rsidRPr="003B5EC5">
              <w:rPr>
                <w:rFonts w:ascii="Times New Roman" w:eastAsia="Times New Roman" w:hAnsi="Times New Roman" w:cs="Times New Roman"/>
                <w:i/>
                <w:color w:val="000000"/>
                <w:sz w:val="18"/>
                <w:szCs w:val="18"/>
                <w:vertAlign w:val="subscript"/>
              </w:rPr>
              <w:t>0</w:t>
            </w:r>
            <w:r w:rsidRPr="003B5EC5">
              <w:rPr>
                <w:rFonts w:ascii="Times New Roman" w:eastAsia="Times New Roman" w:hAnsi="Times New Roman" w:cs="Times New Roman"/>
                <w:color w:val="000000"/>
                <w:sz w:val="18"/>
                <w:szCs w:val="18"/>
              </w:rPr>
              <w:t>(</w:t>
            </w:r>
            <w:r w:rsidRPr="003B5EC5">
              <w:rPr>
                <w:rFonts w:ascii="Times New Roman" w:eastAsia="Times New Roman" w:hAnsi="Times New Roman" w:cs="Times New Roman"/>
                <w:i/>
                <w:color w:val="000000"/>
                <w:sz w:val="18"/>
                <w:szCs w:val="18"/>
              </w:rPr>
              <w:t>0.1</w:t>
            </w:r>
            <w:r w:rsidRPr="003B5EC5">
              <w:rPr>
                <w:rFonts w:ascii="Times New Roman" w:eastAsia="Times New Roman" w:hAnsi="Times New Roman" w:cs="Times New Roman"/>
                <w:color w:val="000000"/>
                <w:sz w:val="18"/>
                <w:szCs w:val="18"/>
              </w:rPr>
              <w:t>)</w:t>
            </w:r>
          </w:p>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w:t>
            </w:r>
          </w:p>
        </w:tc>
        <w:tc>
          <w:tcPr>
            <w:tcW w:w="1134" w:type="dxa"/>
            <w:tcBorders>
              <w:top w:val="single" w:sz="4" w:space="0" w:color="auto"/>
              <w:left w:val="nil"/>
              <w:bottom w:val="single" w:sz="4" w:space="0" w:color="auto"/>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i/>
                <w:color w:val="000000"/>
                <w:sz w:val="18"/>
                <w:szCs w:val="18"/>
              </w:rPr>
              <w:t>H</w:t>
            </w:r>
            <w:r w:rsidRPr="003B5EC5">
              <w:rPr>
                <w:rFonts w:ascii="Times New Roman" w:eastAsia="Times New Roman" w:hAnsi="Times New Roman" w:cs="Times New Roman"/>
                <w:i/>
                <w:color w:val="000000"/>
                <w:sz w:val="18"/>
                <w:szCs w:val="18"/>
                <w:vertAlign w:val="subscript"/>
              </w:rPr>
              <w:t>0</w:t>
            </w:r>
            <w:r w:rsidRPr="003B5EC5">
              <w:rPr>
                <w:rFonts w:ascii="Times New Roman" w:eastAsia="Times New Roman" w:hAnsi="Times New Roman" w:cs="Times New Roman"/>
                <w:color w:val="000000"/>
                <w:sz w:val="18"/>
                <w:szCs w:val="18"/>
              </w:rPr>
              <w:t>(</w:t>
            </w:r>
            <w:r w:rsidRPr="003B5EC5">
              <w:rPr>
                <w:rFonts w:ascii="Times New Roman" w:eastAsia="Times New Roman" w:hAnsi="Times New Roman" w:cs="Times New Roman"/>
                <w:i/>
                <w:color w:val="000000"/>
                <w:sz w:val="18"/>
                <w:szCs w:val="18"/>
              </w:rPr>
              <w:t>c</w:t>
            </w:r>
            <w:r w:rsidRPr="003B5EC5">
              <w:rPr>
                <w:rFonts w:ascii="Times New Roman" w:eastAsia="Times New Roman" w:hAnsi="Times New Roman" w:cs="Times New Roman"/>
                <w:color w:val="000000"/>
                <w:sz w:val="18"/>
                <w:szCs w:val="18"/>
              </w:rPr>
              <w:t>)</w:t>
            </w:r>
          </w:p>
          <w:p w:rsidR="00EA09B5" w:rsidRPr="003B5EC5" w:rsidRDefault="00EA09B5" w:rsidP="000E11AB">
            <w:pPr>
              <w:jc w:val="center"/>
              <w:rPr>
                <w:rFonts w:ascii="Times New Roman" w:eastAsia="Times New Roman" w:hAnsi="Times New Roman" w:cs="Times New Roman"/>
                <w:i/>
                <w:color w:val="000000"/>
                <w:sz w:val="18"/>
                <w:szCs w:val="18"/>
              </w:rPr>
            </w:pPr>
            <w:r w:rsidRPr="003B5EC5">
              <w:rPr>
                <w:rFonts w:ascii="Times New Roman" w:eastAsia="Times New Roman" w:hAnsi="Times New Roman" w:cs="Times New Roman"/>
                <w:color w:val="000000"/>
                <w:sz w:val="18"/>
                <w:szCs w:val="18"/>
              </w:rPr>
              <w:t>(%*)</w:t>
            </w:r>
          </w:p>
        </w:tc>
        <w:tc>
          <w:tcPr>
            <w:tcW w:w="1020" w:type="dxa"/>
            <w:tcBorders>
              <w:top w:val="single" w:sz="4" w:space="0" w:color="auto"/>
              <w:left w:val="nil"/>
              <w:bottom w:val="single" w:sz="4" w:space="0" w:color="auto"/>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i/>
                <w:color w:val="000000"/>
                <w:sz w:val="18"/>
                <w:szCs w:val="18"/>
              </w:rPr>
              <w:t>H</w:t>
            </w:r>
            <w:r w:rsidRPr="003B5EC5">
              <w:rPr>
                <w:rFonts w:ascii="Times New Roman" w:eastAsia="Times New Roman" w:hAnsi="Times New Roman" w:cs="Times New Roman"/>
                <w:i/>
                <w:color w:val="000000"/>
                <w:sz w:val="18"/>
                <w:szCs w:val="18"/>
                <w:vertAlign w:val="subscript"/>
              </w:rPr>
              <w:t>0</w:t>
            </w:r>
            <w:r w:rsidRPr="003B5EC5">
              <w:rPr>
                <w:rFonts w:ascii="Times New Roman" w:eastAsia="Times New Roman" w:hAnsi="Times New Roman" w:cs="Times New Roman"/>
                <w:color w:val="000000"/>
                <w:sz w:val="18"/>
                <w:szCs w:val="18"/>
              </w:rPr>
              <w:t>(</w:t>
            </w:r>
            <w:r w:rsidRPr="003B5EC5">
              <w:rPr>
                <w:rFonts w:ascii="Times New Roman" w:eastAsia="Times New Roman" w:hAnsi="Times New Roman" w:cs="Times New Roman"/>
                <w:i/>
                <w:color w:val="000000"/>
                <w:sz w:val="18"/>
                <w:szCs w:val="18"/>
              </w:rPr>
              <w:t>u</w:t>
            </w:r>
            <w:r w:rsidRPr="003B5EC5">
              <w:rPr>
                <w:rFonts w:ascii="Times New Roman" w:eastAsia="Times New Roman" w:hAnsi="Times New Roman" w:cs="Times New Roman"/>
                <w:color w:val="000000"/>
                <w:sz w:val="18"/>
                <w:szCs w:val="18"/>
              </w:rPr>
              <w:t>)</w:t>
            </w:r>
          </w:p>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w:t>
            </w:r>
          </w:p>
        </w:tc>
        <w:tc>
          <w:tcPr>
            <w:tcW w:w="907" w:type="dxa"/>
            <w:tcBorders>
              <w:top w:val="single" w:sz="4" w:space="0" w:color="auto"/>
              <w:left w:val="nil"/>
              <w:bottom w:val="single" w:sz="4" w:space="0" w:color="auto"/>
              <w:right w:val="nil"/>
            </w:tcBorders>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i/>
                <w:color w:val="000000"/>
                <w:sz w:val="18"/>
                <w:szCs w:val="18"/>
              </w:rPr>
              <w:t>H</w:t>
            </w:r>
            <w:r w:rsidRPr="003B5EC5">
              <w:rPr>
                <w:rFonts w:ascii="Times New Roman" w:eastAsia="Times New Roman" w:hAnsi="Times New Roman" w:cs="Times New Roman"/>
                <w:i/>
                <w:color w:val="000000"/>
                <w:sz w:val="18"/>
                <w:szCs w:val="18"/>
                <w:vertAlign w:val="subscript"/>
              </w:rPr>
              <w:t>0</w:t>
            </w:r>
            <w:r w:rsidRPr="003B5EC5">
              <w:rPr>
                <w:rFonts w:ascii="Times New Roman" w:eastAsia="Times New Roman" w:hAnsi="Times New Roman" w:cs="Times New Roman"/>
                <w:color w:val="000000"/>
                <w:sz w:val="18"/>
                <w:szCs w:val="18"/>
              </w:rPr>
              <w:t>(</w:t>
            </w:r>
            <w:r w:rsidRPr="003B5EC5">
              <w:rPr>
                <w:rFonts w:ascii="Times New Roman" w:eastAsia="Times New Roman" w:hAnsi="Times New Roman" w:cs="Times New Roman"/>
                <w:i/>
                <w:color w:val="000000"/>
                <w:sz w:val="18"/>
                <w:szCs w:val="18"/>
              </w:rPr>
              <w:t>0.1</w:t>
            </w:r>
            <w:r w:rsidRPr="003B5EC5">
              <w:rPr>
                <w:rFonts w:ascii="Times New Roman" w:eastAsia="Times New Roman" w:hAnsi="Times New Roman" w:cs="Times New Roman"/>
                <w:color w:val="000000"/>
                <w:sz w:val="18"/>
                <w:szCs w:val="18"/>
              </w:rPr>
              <w:t>)</w:t>
            </w:r>
          </w:p>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w:t>
            </w:r>
          </w:p>
        </w:tc>
      </w:tr>
      <w:tr w:rsidR="00EA09B5" w:rsidRPr="003B5EC5" w:rsidTr="000E11AB">
        <w:trPr>
          <w:trHeight w:val="300"/>
          <w:jc w:val="center"/>
        </w:trPr>
        <w:tc>
          <w:tcPr>
            <w:tcW w:w="728" w:type="dxa"/>
            <w:tcBorders>
              <w:top w:val="single" w:sz="4" w:space="0" w:color="auto"/>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I</w:t>
            </w:r>
          </w:p>
        </w:tc>
        <w:tc>
          <w:tcPr>
            <w:tcW w:w="1257" w:type="dxa"/>
            <w:tcBorders>
              <w:top w:val="single" w:sz="4" w:space="0" w:color="auto"/>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3,922</w:t>
            </w:r>
          </w:p>
        </w:tc>
        <w:tc>
          <w:tcPr>
            <w:tcW w:w="1701" w:type="dxa"/>
            <w:tcBorders>
              <w:top w:val="single" w:sz="4" w:space="0" w:color="auto"/>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12 (0.3)</w:t>
            </w:r>
          </w:p>
        </w:tc>
        <w:tc>
          <w:tcPr>
            <w:tcW w:w="1134" w:type="dxa"/>
            <w:tcBorders>
              <w:top w:val="single" w:sz="4" w:space="0" w:color="auto"/>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7 (58.3)</w:t>
            </w:r>
          </w:p>
        </w:tc>
        <w:tc>
          <w:tcPr>
            <w:tcW w:w="992" w:type="dxa"/>
            <w:tcBorders>
              <w:top w:val="single" w:sz="4" w:space="0" w:color="auto"/>
              <w:left w:val="nil"/>
              <w:bottom w:val="nil"/>
              <w:right w:val="nil"/>
            </w:tcBorders>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7 (58.3)</w:t>
            </w:r>
          </w:p>
        </w:tc>
        <w:tc>
          <w:tcPr>
            <w:tcW w:w="851" w:type="dxa"/>
            <w:tcBorders>
              <w:top w:val="single" w:sz="4" w:space="0" w:color="auto"/>
              <w:left w:val="nil"/>
              <w:bottom w:val="nil"/>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hAnsi="Times New Roman" w:cs="Times New Roman"/>
                <w:color w:val="000000"/>
                <w:sz w:val="18"/>
                <w:szCs w:val="18"/>
              </w:rPr>
              <w:t>0 (0)</w:t>
            </w:r>
          </w:p>
        </w:tc>
        <w:tc>
          <w:tcPr>
            <w:tcW w:w="1134" w:type="dxa"/>
            <w:tcBorders>
              <w:top w:val="single" w:sz="4" w:space="0" w:color="auto"/>
              <w:left w:val="nil"/>
              <w:bottom w:val="nil"/>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hAnsi="Times New Roman" w:cs="Times New Roman"/>
                <w:color w:val="000000"/>
                <w:sz w:val="18"/>
                <w:szCs w:val="18"/>
              </w:rPr>
              <w:t>7 (58.3)</w:t>
            </w:r>
          </w:p>
        </w:tc>
        <w:tc>
          <w:tcPr>
            <w:tcW w:w="1020" w:type="dxa"/>
            <w:tcBorders>
              <w:top w:val="single" w:sz="4" w:space="0" w:color="auto"/>
              <w:left w:val="nil"/>
              <w:bottom w:val="nil"/>
              <w:right w:val="nil"/>
            </w:tcBorders>
            <w:shd w:val="clear" w:color="auto" w:fill="auto"/>
            <w:noWrap/>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7 (58.3)</w:t>
            </w:r>
          </w:p>
        </w:tc>
        <w:tc>
          <w:tcPr>
            <w:tcW w:w="907" w:type="dxa"/>
            <w:tcBorders>
              <w:top w:val="single" w:sz="4" w:space="0" w:color="auto"/>
              <w:left w:val="nil"/>
              <w:bottom w:val="nil"/>
              <w:right w:val="nil"/>
            </w:tcBorders>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0 (0)</w:t>
            </w:r>
          </w:p>
        </w:tc>
      </w:tr>
      <w:tr w:rsidR="00EA09B5" w:rsidRPr="003B5EC5" w:rsidTr="000E11AB">
        <w:trPr>
          <w:trHeight w:val="300"/>
          <w:jc w:val="center"/>
        </w:trPr>
        <w:tc>
          <w:tcPr>
            <w:tcW w:w="728" w:type="dxa"/>
            <w:tcBorders>
              <w:top w:val="nil"/>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II</w:t>
            </w:r>
          </w:p>
        </w:tc>
        <w:tc>
          <w:tcPr>
            <w:tcW w:w="1257" w:type="dxa"/>
            <w:tcBorders>
              <w:top w:val="nil"/>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8,401</w:t>
            </w:r>
          </w:p>
        </w:tc>
        <w:tc>
          <w:tcPr>
            <w:tcW w:w="1701" w:type="dxa"/>
            <w:tcBorders>
              <w:top w:val="nil"/>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286 (3.4)</w:t>
            </w:r>
          </w:p>
        </w:tc>
        <w:tc>
          <w:tcPr>
            <w:tcW w:w="1134" w:type="dxa"/>
            <w:tcBorders>
              <w:top w:val="nil"/>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151 (52.8)</w:t>
            </w:r>
          </w:p>
        </w:tc>
        <w:tc>
          <w:tcPr>
            <w:tcW w:w="992" w:type="dxa"/>
            <w:tcBorders>
              <w:top w:val="nil"/>
              <w:left w:val="nil"/>
              <w:bottom w:val="nil"/>
              <w:right w:val="nil"/>
            </w:tcBorders>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85 (29.7)</w:t>
            </w:r>
          </w:p>
        </w:tc>
        <w:tc>
          <w:tcPr>
            <w:tcW w:w="851" w:type="dxa"/>
            <w:tcBorders>
              <w:top w:val="nil"/>
              <w:left w:val="nil"/>
              <w:bottom w:val="nil"/>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hAnsi="Times New Roman" w:cs="Times New Roman"/>
                <w:color w:val="000000"/>
                <w:sz w:val="18"/>
                <w:szCs w:val="18"/>
              </w:rPr>
              <w:t>0 (0)</w:t>
            </w:r>
          </w:p>
        </w:tc>
        <w:tc>
          <w:tcPr>
            <w:tcW w:w="1134" w:type="dxa"/>
            <w:tcBorders>
              <w:top w:val="nil"/>
              <w:left w:val="nil"/>
              <w:bottom w:val="nil"/>
              <w:right w:val="nil"/>
            </w:tcBorders>
            <w:shd w:val="clear" w:color="auto" w:fill="auto"/>
            <w:noWrap/>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153 (53.5)</w:t>
            </w:r>
          </w:p>
        </w:tc>
        <w:tc>
          <w:tcPr>
            <w:tcW w:w="1020" w:type="dxa"/>
            <w:tcBorders>
              <w:top w:val="nil"/>
              <w:left w:val="nil"/>
              <w:bottom w:val="nil"/>
              <w:right w:val="nil"/>
            </w:tcBorders>
            <w:shd w:val="clear" w:color="auto" w:fill="auto"/>
            <w:noWrap/>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96 (33.6)</w:t>
            </w:r>
          </w:p>
        </w:tc>
        <w:tc>
          <w:tcPr>
            <w:tcW w:w="907" w:type="dxa"/>
            <w:tcBorders>
              <w:top w:val="nil"/>
              <w:left w:val="nil"/>
              <w:bottom w:val="nil"/>
              <w:right w:val="nil"/>
            </w:tcBorders>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3 (1.0)</w:t>
            </w:r>
          </w:p>
        </w:tc>
      </w:tr>
      <w:tr w:rsidR="00EA09B5" w:rsidRPr="003B5EC5" w:rsidTr="000E11AB">
        <w:trPr>
          <w:trHeight w:val="300"/>
          <w:jc w:val="center"/>
        </w:trPr>
        <w:tc>
          <w:tcPr>
            <w:tcW w:w="728" w:type="dxa"/>
            <w:tcBorders>
              <w:top w:val="nil"/>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III</w:t>
            </w:r>
          </w:p>
        </w:tc>
        <w:tc>
          <w:tcPr>
            <w:tcW w:w="1257" w:type="dxa"/>
            <w:tcBorders>
              <w:top w:val="nil"/>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5,506</w:t>
            </w:r>
          </w:p>
        </w:tc>
        <w:tc>
          <w:tcPr>
            <w:tcW w:w="1701" w:type="dxa"/>
            <w:tcBorders>
              <w:top w:val="nil"/>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860 (15.6)</w:t>
            </w:r>
          </w:p>
        </w:tc>
        <w:tc>
          <w:tcPr>
            <w:tcW w:w="1134" w:type="dxa"/>
            <w:tcBorders>
              <w:top w:val="nil"/>
              <w:left w:val="nil"/>
              <w:bottom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503 (58.5)</w:t>
            </w:r>
          </w:p>
        </w:tc>
        <w:tc>
          <w:tcPr>
            <w:tcW w:w="992" w:type="dxa"/>
            <w:tcBorders>
              <w:top w:val="nil"/>
              <w:left w:val="nil"/>
              <w:bottom w:val="nil"/>
              <w:right w:val="nil"/>
            </w:tcBorders>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166 (19.3)</w:t>
            </w:r>
          </w:p>
        </w:tc>
        <w:tc>
          <w:tcPr>
            <w:tcW w:w="851" w:type="dxa"/>
            <w:tcBorders>
              <w:top w:val="nil"/>
              <w:left w:val="nil"/>
              <w:bottom w:val="nil"/>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hAnsi="Times New Roman" w:cs="Times New Roman"/>
                <w:color w:val="000000"/>
                <w:sz w:val="18"/>
                <w:szCs w:val="18"/>
              </w:rPr>
              <w:t>7 (0.8)</w:t>
            </w:r>
          </w:p>
        </w:tc>
        <w:tc>
          <w:tcPr>
            <w:tcW w:w="1134" w:type="dxa"/>
            <w:tcBorders>
              <w:top w:val="nil"/>
              <w:left w:val="nil"/>
              <w:bottom w:val="nil"/>
              <w:right w:val="nil"/>
            </w:tcBorders>
            <w:shd w:val="clear" w:color="auto" w:fill="auto"/>
            <w:noWrap/>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519 (60.3)</w:t>
            </w:r>
          </w:p>
        </w:tc>
        <w:tc>
          <w:tcPr>
            <w:tcW w:w="1020" w:type="dxa"/>
            <w:tcBorders>
              <w:top w:val="nil"/>
              <w:left w:val="nil"/>
              <w:bottom w:val="nil"/>
              <w:right w:val="nil"/>
            </w:tcBorders>
            <w:shd w:val="clear" w:color="auto" w:fill="auto"/>
            <w:noWrap/>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193 (22.4)</w:t>
            </w:r>
          </w:p>
        </w:tc>
        <w:tc>
          <w:tcPr>
            <w:tcW w:w="907" w:type="dxa"/>
            <w:tcBorders>
              <w:top w:val="nil"/>
              <w:left w:val="nil"/>
              <w:bottom w:val="nil"/>
              <w:right w:val="nil"/>
            </w:tcBorders>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61 (7.1)</w:t>
            </w:r>
          </w:p>
        </w:tc>
      </w:tr>
      <w:tr w:rsidR="00EA09B5" w:rsidRPr="003B5EC5" w:rsidTr="000E11AB">
        <w:trPr>
          <w:trHeight w:val="300"/>
          <w:jc w:val="center"/>
        </w:trPr>
        <w:tc>
          <w:tcPr>
            <w:tcW w:w="728" w:type="dxa"/>
            <w:tcBorders>
              <w:top w:val="nil"/>
              <w:left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IV</w:t>
            </w:r>
          </w:p>
        </w:tc>
        <w:tc>
          <w:tcPr>
            <w:tcW w:w="1257" w:type="dxa"/>
            <w:tcBorders>
              <w:top w:val="nil"/>
              <w:left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2,489</w:t>
            </w:r>
          </w:p>
        </w:tc>
        <w:tc>
          <w:tcPr>
            <w:tcW w:w="1701" w:type="dxa"/>
            <w:tcBorders>
              <w:top w:val="nil"/>
              <w:left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919 (36.9)</w:t>
            </w:r>
          </w:p>
        </w:tc>
        <w:tc>
          <w:tcPr>
            <w:tcW w:w="1134" w:type="dxa"/>
            <w:tcBorders>
              <w:top w:val="nil"/>
              <w:left w:val="nil"/>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491 (53.4)</w:t>
            </w:r>
          </w:p>
        </w:tc>
        <w:tc>
          <w:tcPr>
            <w:tcW w:w="992" w:type="dxa"/>
            <w:tcBorders>
              <w:top w:val="nil"/>
              <w:left w:val="nil"/>
              <w:right w:val="nil"/>
            </w:tcBorders>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69 (7.5)</w:t>
            </w:r>
          </w:p>
        </w:tc>
        <w:tc>
          <w:tcPr>
            <w:tcW w:w="851" w:type="dxa"/>
            <w:tcBorders>
              <w:top w:val="nil"/>
              <w:left w:val="nil"/>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hAnsi="Times New Roman" w:cs="Times New Roman"/>
                <w:color w:val="000000"/>
                <w:sz w:val="18"/>
                <w:szCs w:val="18"/>
              </w:rPr>
              <w:t>16 (1.7)</w:t>
            </w:r>
          </w:p>
        </w:tc>
        <w:tc>
          <w:tcPr>
            <w:tcW w:w="1134" w:type="dxa"/>
            <w:tcBorders>
              <w:top w:val="nil"/>
              <w:left w:val="nil"/>
              <w:right w:val="nil"/>
            </w:tcBorders>
            <w:shd w:val="clear" w:color="auto" w:fill="auto"/>
            <w:noWrap/>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511 (55.6)</w:t>
            </w:r>
          </w:p>
        </w:tc>
        <w:tc>
          <w:tcPr>
            <w:tcW w:w="1020" w:type="dxa"/>
            <w:tcBorders>
              <w:top w:val="nil"/>
              <w:left w:val="nil"/>
              <w:right w:val="nil"/>
            </w:tcBorders>
            <w:shd w:val="clear" w:color="auto" w:fill="auto"/>
            <w:noWrap/>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84 (9.1)</w:t>
            </w:r>
          </w:p>
        </w:tc>
        <w:tc>
          <w:tcPr>
            <w:tcW w:w="907" w:type="dxa"/>
            <w:tcBorders>
              <w:top w:val="nil"/>
              <w:left w:val="nil"/>
              <w:right w:val="nil"/>
            </w:tcBorders>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99 (10.8)</w:t>
            </w:r>
          </w:p>
        </w:tc>
      </w:tr>
      <w:tr w:rsidR="00EA09B5" w:rsidRPr="003B5EC5" w:rsidTr="000E11AB">
        <w:trPr>
          <w:trHeight w:val="300"/>
          <w:jc w:val="center"/>
        </w:trPr>
        <w:tc>
          <w:tcPr>
            <w:tcW w:w="728" w:type="dxa"/>
            <w:tcBorders>
              <w:top w:val="nil"/>
              <w:left w:val="nil"/>
              <w:bottom w:val="single" w:sz="4" w:space="0" w:color="auto"/>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Total</w:t>
            </w:r>
          </w:p>
        </w:tc>
        <w:tc>
          <w:tcPr>
            <w:tcW w:w="1257" w:type="dxa"/>
            <w:tcBorders>
              <w:top w:val="nil"/>
              <w:left w:val="nil"/>
              <w:bottom w:val="single" w:sz="4" w:space="0" w:color="auto"/>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20,318</w:t>
            </w:r>
          </w:p>
        </w:tc>
        <w:tc>
          <w:tcPr>
            <w:tcW w:w="1701" w:type="dxa"/>
            <w:tcBorders>
              <w:top w:val="nil"/>
              <w:left w:val="nil"/>
              <w:bottom w:val="single" w:sz="4" w:space="0" w:color="auto"/>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2,077 (10.2)</w:t>
            </w:r>
          </w:p>
        </w:tc>
        <w:tc>
          <w:tcPr>
            <w:tcW w:w="1134" w:type="dxa"/>
            <w:tcBorders>
              <w:top w:val="nil"/>
              <w:left w:val="nil"/>
              <w:bottom w:val="single" w:sz="4" w:space="0" w:color="auto"/>
              <w:right w:val="nil"/>
            </w:tcBorders>
            <w:shd w:val="clear" w:color="auto" w:fill="auto"/>
            <w:noWrap/>
            <w:vAlign w:val="center"/>
            <w:hideMark/>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1,152 (55.5)</w:t>
            </w:r>
          </w:p>
        </w:tc>
        <w:tc>
          <w:tcPr>
            <w:tcW w:w="992" w:type="dxa"/>
            <w:tcBorders>
              <w:top w:val="nil"/>
              <w:left w:val="nil"/>
              <w:bottom w:val="single" w:sz="4" w:space="0" w:color="auto"/>
              <w:right w:val="nil"/>
            </w:tcBorders>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327 (15.7)</w:t>
            </w:r>
          </w:p>
        </w:tc>
        <w:tc>
          <w:tcPr>
            <w:tcW w:w="851" w:type="dxa"/>
            <w:tcBorders>
              <w:top w:val="nil"/>
              <w:left w:val="nil"/>
              <w:bottom w:val="single" w:sz="4" w:space="0" w:color="auto"/>
              <w:right w:val="nil"/>
            </w:tcBorders>
            <w:shd w:val="clear" w:color="auto" w:fill="auto"/>
            <w:noWrap/>
            <w:vAlign w:val="center"/>
          </w:tcPr>
          <w:p w:rsidR="00EA09B5" w:rsidRPr="003B5EC5" w:rsidRDefault="00EA09B5" w:rsidP="000E11AB">
            <w:pPr>
              <w:jc w:val="center"/>
              <w:rPr>
                <w:rFonts w:ascii="Times New Roman" w:eastAsia="Times New Roman" w:hAnsi="Times New Roman" w:cs="Times New Roman"/>
                <w:color w:val="000000"/>
                <w:sz w:val="18"/>
                <w:szCs w:val="18"/>
              </w:rPr>
            </w:pPr>
            <w:r w:rsidRPr="003B5EC5">
              <w:rPr>
                <w:rFonts w:ascii="Times New Roman" w:eastAsia="Times New Roman" w:hAnsi="Times New Roman" w:cs="Times New Roman"/>
                <w:color w:val="000000"/>
                <w:sz w:val="18"/>
                <w:szCs w:val="18"/>
              </w:rPr>
              <w:t>23 (1.1)</w:t>
            </w:r>
          </w:p>
        </w:tc>
        <w:tc>
          <w:tcPr>
            <w:tcW w:w="1134" w:type="dxa"/>
            <w:tcBorders>
              <w:top w:val="nil"/>
              <w:left w:val="nil"/>
              <w:bottom w:val="single" w:sz="4" w:space="0" w:color="auto"/>
              <w:right w:val="nil"/>
            </w:tcBorders>
            <w:shd w:val="clear" w:color="auto" w:fill="auto"/>
            <w:noWrap/>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1,190 (57.3)</w:t>
            </w:r>
          </w:p>
        </w:tc>
        <w:tc>
          <w:tcPr>
            <w:tcW w:w="1020" w:type="dxa"/>
            <w:tcBorders>
              <w:top w:val="nil"/>
              <w:left w:val="nil"/>
              <w:bottom w:val="single" w:sz="4" w:space="0" w:color="auto"/>
              <w:right w:val="nil"/>
            </w:tcBorders>
            <w:shd w:val="clear" w:color="auto" w:fill="auto"/>
            <w:noWrap/>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380 (18.3)</w:t>
            </w:r>
          </w:p>
        </w:tc>
        <w:tc>
          <w:tcPr>
            <w:tcW w:w="907" w:type="dxa"/>
            <w:tcBorders>
              <w:top w:val="nil"/>
              <w:left w:val="nil"/>
              <w:bottom w:val="single" w:sz="4" w:space="0" w:color="auto"/>
              <w:right w:val="nil"/>
            </w:tcBorders>
            <w:vAlign w:val="center"/>
          </w:tcPr>
          <w:p w:rsidR="00EA09B5" w:rsidRPr="003B5EC5" w:rsidRDefault="00EA09B5" w:rsidP="000E11AB">
            <w:pPr>
              <w:jc w:val="center"/>
              <w:rPr>
                <w:rFonts w:ascii="Times New Roman" w:hAnsi="Times New Roman" w:cs="Times New Roman"/>
                <w:color w:val="000000"/>
                <w:sz w:val="18"/>
                <w:szCs w:val="18"/>
              </w:rPr>
            </w:pPr>
            <w:r w:rsidRPr="003B5EC5">
              <w:rPr>
                <w:rFonts w:ascii="Times New Roman" w:hAnsi="Times New Roman" w:cs="Times New Roman"/>
                <w:color w:val="000000"/>
                <w:sz w:val="18"/>
                <w:szCs w:val="18"/>
              </w:rPr>
              <w:t>163 (7.8)</w:t>
            </w:r>
          </w:p>
        </w:tc>
      </w:tr>
    </w:tbl>
    <w:p w:rsidR="00EA09B5" w:rsidRPr="003B5EC5" w:rsidRDefault="00EA09B5" w:rsidP="00EA09B5">
      <w:pPr>
        <w:spacing w:line="276" w:lineRule="auto"/>
        <w:jc w:val="both"/>
        <w:rPr>
          <w:rFonts w:ascii="Times New Roman" w:eastAsia="Times New Roman" w:hAnsi="Times New Roman" w:cs="Times New Roman"/>
          <w:color w:val="000000"/>
          <w:sz w:val="20"/>
          <w:szCs w:val="20"/>
        </w:rPr>
      </w:pPr>
      <w:r w:rsidRPr="003B5EC5">
        <w:rPr>
          <w:rFonts w:ascii="Times New Roman" w:eastAsia="Times New Roman" w:hAnsi="Times New Roman" w:cs="Times New Roman"/>
          <w:i/>
          <w:color w:val="000000"/>
          <w:sz w:val="20"/>
          <w:szCs w:val="20"/>
        </w:rPr>
        <w:t>P</w:t>
      </w:r>
      <w:r w:rsidRPr="003B5EC5">
        <w:rPr>
          <w:rFonts w:ascii="Times New Roman" w:eastAsia="Times New Roman" w:hAnsi="Times New Roman" w:cs="Times New Roman"/>
          <w:i/>
          <w:color w:val="000000"/>
          <w:sz w:val="20"/>
          <w:szCs w:val="20"/>
          <w:vertAlign w:val="subscript"/>
        </w:rPr>
        <w:t>m</w:t>
      </w:r>
      <w:r w:rsidRPr="003B5EC5">
        <w:rPr>
          <w:rFonts w:ascii="Times New Roman" w:eastAsia="Times New Roman" w:hAnsi="Times New Roman" w:cs="Times New Roman"/>
          <w:color w:val="000000"/>
          <w:sz w:val="20"/>
          <w:szCs w:val="20"/>
        </w:rPr>
        <w:t>(</w:t>
      </w:r>
      <w:r w:rsidRPr="003B5EC5">
        <w:rPr>
          <w:rFonts w:ascii="Times New Roman" w:eastAsia="Times New Roman" w:hAnsi="Times New Roman" w:cs="Times New Roman"/>
          <w:i/>
          <w:color w:val="000000"/>
          <w:sz w:val="20"/>
          <w:szCs w:val="20"/>
        </w:rPr>
        <w:t>R</w:t>
      </w:r>
      <w:r w:rsidRPr="003B5EC5">
        <w:rPr>
          <w:rFonts w:ascii="Times New Roman" w:eastAsia="Times New Roman" w:hAnsi="Times New Roman" w:cs="Times New Roman"/>
          <w:i/>
          <w:color w:val="000000"/>
          <w:sz w:val="20"/>
          <w:szCs w:val="20"/>
          <w:vertAlign w:val="subscript"/>
        </w:rPr>
        <w:t>0</w:t>
      </w:r>
      <w:r w:rsidRPr="003B5EC5">
        <w:rPr>
          <w:rFonts w:ascii="Times New Roman" w:eastAsia="Times New Roman" w:hAnsi="Times New Roman" w:cs="Times New Roman"/>
          <w:color w:val="000000"/>
          <w:sz w:val="20"/>
          <w:szCs w:val="20"/>
        </w:rPr>
        <w:t xml:space="preserve">) is the probability of observing zero RPFs at a uORF under different null hypotheses: </w:t>
      </w:r>
      <w:r w:rsidRPr="003B5EC5">
        <w:rPr>
          <w:rFonts w:ascii="Times New Roman" w:eastAsia="Times New Roman" w:hAnsi="Times New Roman" w:cs="Times New Roman"/>
          <w:i/>
          <w:color w:val="000000"/>
          <w:sz w:val="20"/>
          <w:szCs w:val="20"/>
        </w:rPr>
        <w:t>H</w:t>
      </w:r>
      <w:r w:rsidRPr="003B5EC5">
        <w:rPr>
          <w:rFonts w:ascii="Times New Roman" w:eastAsia="Times New Roman" w:hAnsi="Times New Roman" w:cs="Times New Roman"/>
          <w:i/>
          <w:color w:val="000000"/>
          <w:sz w:val="20"/>
          <w:szCs w:val="20"/>
          <w:vertAlign w:val="subscript"/>
        </w:rPr>
        <w:t>0</w:t>
      </w:r>
      <w:r w:rsidRPr="003B5EC5">
        <w:rPr>
          <w:rFonts w:ascii="Times New Roman" w:eastAsia="Times New Roman" w:hAnsi="Times New Roman" w:cs="Times New Roman"/>
          <w:color w:val="000000"/>
          <w:sz w:val="20"/>
          <w:szCs w:val="20"/>
        </w:rPr>
        <w:t>(</w:t>
      </w:r>
      <w:r w:rsidRPr="003B5EC5">
        <w:rPr>
          <w:rFonts w:ascii="Times New Roman" w:eastAsia="Times New Roman" w:hAnsi="Times New Roman" w:cs="Times New Roman"/>
          <w:i/>
          <w:color w:val="000000"/>
          <w:sz w:val="20"/>
          <w:szCs w:val="20"/>
        </w:rPr>
        <w:t>c</w:t>
      </w:r>
      <w:r w:rsidRPr="003B5EC5">
        <w:rPr>
          <w:rFonts w:ascii="Times New Roman" w:eastAsia="Times New Roman" w:hAnsi="Times New Roman" w:cs="Times New Roman"/>
          <w:color w:val="000000"/>
          <w:sz w:val="20"/>
          <w:szCs w:val="20"/>
        </w:rPr>
        <w:t xml:space="preserve">), that the uORF has the same TE as the downstream CDS; </w:t>
      </w:r>
      <w:r w:rsidRPr="003B5EC5">
        <w:rPr>
          <w:rFonts w:ascii="Times New Roman" w:eastAsia="Times New Roman" w:hAnsi="Times New Roman" w:cs="Times New Roman"/>
          <w:i/>
          <w:color w:val="000000"/>
          <w:sz w:val="20"/>
          <w:szCs w:val="20"/>
        </w:rPr>
        <w:t>H</w:t>
      </w:r>
      <w:r w:rsidRPr="003B5EC5">
        <w:rPr>
          <w:rFonts w:ascii="Times New Roman" w:eastAsia="Times New Roman" w:hAnsi="Times New Roman" w:cs="Times New Roman"/>
          <w:i/>
          <w:color w:val="000000"/>
          <w:sz w:val="20"/>
          <w:szCs w:val="20"/>
          <w:vertAlign w:val="subscript"/>
        </w:rPr>
        <w:t>0</w:t>
      </w:r>
      <w:r w:rsidRPr="003B5EC5">
        <w:rPr>
          <w:rFonts w:ascii="Times New Roman" w:eastAsia="Times New Roman" w:hAnsi="Times New Roman" w:cs="Times New Roman"/>
          <w:color w:val="000000"/>
          <w:sz w:val="20"/>
          <w:szCs w:val="20"/>
        </w:rPr>
        <w:t>(</w:t>
      </w:r>
      <w:r w:rsidRPr="003B5EC5">
        <w:rPr>
          <w:rFonts w:ascii="Times New Roman" w:eastAsia="Times New Roman" w:hAnsi="Times New Roman" w:cs="Times New Roman"/>
          <w:i/>
          <w:color w:val="000000"/>
          <w:sz w:val="20"/>
          <w:szCs w:val="20"/>
        </w:rPr>
        <w:t>u</w:t>
      </w:r>
      <w:r w:rsidRPr="003B5EC5">
        <w:rPr>
          <w:rFonts w:ascii="Times New Roman" w:eastAsia="Times New Roman" w:hAnsi="Times New Roman" w:cs="Times New Roman"/>
          <w:color w:val="000000"/>
          <w:sz w:val="20"/>
          <w:szCs w:val="20"/>
        </w:rPr>
        <w:t>), that TE</w:t>
      </w:r>
      <w:r w:rsidRPr="003B5EC5">
        <w:rPr>
          <w:rFonts w:ascii="Times New Roman" w:eastAsia="Times New Roman" w:hAnsi="Times New Roman" w:cs="Times New Roman"/>
          <w:color w:val="000000"/>
          <w:sz w:val="20"/>
          <w:szCs w:val="20"/>
          <w:vertAlign w:val="subscript"/>
        </w:rPr>
        <w:t>uORF</w:t>
      </w:r>
      <w:r w:rsidRPr="003B5EC5">
        <w:rPr>
          <w:rFonts w:ascii="Times New Roman" w:eastAsia="Times New Roman" w:hAnsi="Times New Roman" w:cs="Times New Roman"/>
          <w:color w:val="000000"/>
          <w:sz w:val="20"/>
          <w:szCs w:val="20"/>
        </w:rPr>
        <w:t xml:space="preserve"> is equal to the average TE</w:t>
      </w:r>
      <w:r w:rsidR="00731FBE">
        <w:rPr>
          <w:rFonts w:ascii="Times New Roman" w:eastAsia="Times New Roman" w:hAnsi="Times New Roman" w:cs="Times New Roman"/>
          <w:color w:val="000000"/>
          <w:sz w:val="20"/>
          <w:szCs w:val="20"/>
        </w:rPr>
        <w:t xml:space="preserve"> (</w:t>
      </w:r>
      <w:r w:rsidR="00731FBE" w:rsidRPr="00731FBE">
        <w:rPr>
          <w:rFonts w:ascii="Times New Roman" w:eastAsia="Times New Roman" w:hAnsi="Times New Roman" w:cs="Times New Roman"/>
          <w:i/>
          <w:color w:val="000000"/>
          <w:sz w:val="20"/>
          <w:szCs w:val="20"/>
        </w:rPr>
        <w:t>u</w:t>
      </w:r>
      <w:r w:rsidR="00731FBE">
        <w:rPr>
          <w:rFonts w:ascii="Times New Roman" w:eastAsia="Times New Roman" w:hAnsi="Times New Roman" w:cs="Times New Roman"/>
          <w:color w:val="000000"/>
          <w:sz w:val="20"/>
          <w:szCs w:val="20"/>
        </w:rPr>
        <w:t>)</w:t>
      </w:r>
      <w:r w:rsidRPr="003B5EC5">
        <w:rPr>
          <w:rFonts w:ascii="Times New Roman" w:eastAsia="Times New Roman" w:hAnsi="Times New Roman" w:cs="Times New Roman"/>
          <w:color w:val="000000"/>
          <w:sz w:val="20"/>
          <w:szCs w:val="20"/>
        </w:rPr>
        <w:t xml:space="preserve"> of this uORF in least two other samples where it has </w:t>
      </w:r>
      <w:r w:rsidRPr="003B5EC5">
        <w:rPr>
          <w:rFonts w:ascii="Times New Roman" w:eastAsia="Times New Roman" w:hAnsi="Times New Roman" w:cs="Times New Roman"/>
          <w:color w:val="000000"/>
          <w:sz w:val="20"/>
          <w:szCs w:val="20"/>
        </w:rPr>
        <w:sym w:font="Symbol" w:char="F0B3"/>
      </w:r>
      <w:r w:rsidRPr="003B5EC5">
        <w:rPr>
          <w:rFonts w:ascii="Times New Roman" w:eastAsia="Times New Roman" w:hAnsi="Times New Roman" w:cs="Times New Roman"/>
          <w:color w:val="000000"/>
          <w:sz w:val="20"/>
          <w:szCs w:val="20"/>
        </w:rPr>
        <w:t xml:space="preserve"> 30 normalized mRNA reads and </w:t>
      </w:r>
      <w:r w:rsidRPr="003B5EC5">
        <w:rPr>
          <w:rFonts w:ascii="Times New Roman" w:eastAsia="Times New Roman" w:hAnsi="Times New Roman" w:cs="Times New Roman"/>
          <w:color w:val="000000"/>
          <w:sz w:val="20"/>
          <w:szCs w:val="20"/>
        </w:rPr>
        <w:sym w:font="Symbol" w:char="F0B3"/>
      </w:r>
      <w:r w:rsidRPr="003B5EC5">
        <w:rPr>
          <w:rFonts w:ascii="Times New Roman" w:eastAsia="Times New Roman" w:hAnsi="Times New Roman" w:cs="Times New Roman"/>
          <w:color w:val="000000"/>
          <w:sz w:val="20"/>
          <w:szCs w:val="20"/>
        </w:rPr>
        <w:t xml:space="preserve"> 3 normalized RPF reads; </w:t>
      </w:r>
      <w:r w:rsidRPr="003B5EC5">
        <w:rPr>
          <w:rFonts w:ascii="Times New Roman" w:eastAsia="Times New Roman" w:hAnsi="Times New Roman" w:cs="Times New Roman"/>
          <w:i/>
          <w:color w:val="000000"/>
          <w:sz w:val="20"/>
          <w:szCs w:val="20"/>
        </w:rPr>
        <w:t>H</w:t>
      </w:r>
      <w:r w:rsidRPr="003B5EC5">
        <w:rPr>
          <w:rFonts w:ascii="Times New Roman" w:eastAsia="Times New Roman" w:hAnsi="Times New Roman" w:cs="Times New Roman"/>
          <w:i/>
          <w:color w:val="000000"/>
          <w:sz w:val="20"/>
          <w:szCs w:val="20"/>
          <w:vertAlign w:val="subscript"/>
        </w:rPr>
        <w:t>0</w:t>
      </w:r>
      <w:r w:rsidRPr="003B5EC5">
        <w:rPr>
          <w:rFonts w:ascii="Times New Roman" w:eastAsia="Times New Roman" w:hAnsi="Times New Roman" w:cs="Times New Roman"/>
          <w:color w:val="000000"/>
          <w:sz w:val="20"/>
          <w:szCs w:val="20"/>
        </w:rPr>
        <w:t>(</w:t>
      </w:r>
      <w:r w:rsidRPr="003B5EC5">
        <w:rPr>
          <w:rFonts w:ascii="Times New Roman" w:eastAsia="Times New Roman" w:hAnsi="Times New Roman" w:cs="Times New Roman"/>
          <w:i/>
          <w:color w:val="000000"/>
          <w:sz w:val="20"/>
          <w:szCs w:val="20"/>
        </w:rPr>
        <w:t>0.1</w:t>
      </w:r>
      <w:r w:rsidRPr="003B5EC5">
        <w:rPr>
          <w:rFonts w:ascii="Times New Roman" w:eastAsia="Times New Roman" w:hAnsi="Times New Roman" w:cs="Times New Roman"/>
          <w:color w:val="000000"/>
          <w:sz w:val="20"/>
          <w:szCs w:val="20"/>
        </w:rPr>
        <w:t>), that the uORF has a minimum TE of 0.1.</w:t>
      </w:r>
      <w:r w:rsidR="00D044BC">
        <w:rPr>
          <w:rFonts w:ascii="Times New Roman" w:eastAsia="Times New Roman" w:hAnsi="Times New Roman" w:cs="Times New Roman"/>
          <w:color w:val="000000"/>
          <w:sz w:val="20"/>
          <w:szCs w:val="20"/>
        </w:rPr>
        <w:t xml:space="preserve"> For a uORF with zero RPFs </w:t>
      </w:r>
      <w:r w:rsidR="00025D83">
        <w:rPr>
          <w:rFonts w:ascii="Times New Roman" w:eastAsia="Times New Roman" w:hAnsi="Times New Roman" w:cs="Times New Roman"/>
          <w:color w:val="000000"/>
          <w:sz w:val="20"/>
          <w:szCs w:val="20"/>
        </w:rPr>
        <w:t xml:space="preserve">but well transcribed (RPKM </w:t>
      </w:r>
      <w:r w:rsidR="00025D83">
        <w:rPr>
          <w:rFonts w:ascii="Times New Roman" w:eastAsia="Times New Roman" w:hAnsi="Times New Roman" w:cs="Times New Roman"/>
          <w:color w:val="000000"/>
          <w:sz w:val="20"/>
          <w:szCs w:val="20"/>
        </w:rPr>
        <w:sym w:font="Symbol" w:char="F0B3"/>
      </w:r>
      <w:r w:rsidR="00025D83">
        <w:rPr>
          <w:rFonts w:ascii="Times New Roman" w:eastAsia="Times New Roman" w:hAnsi="Times New Roman" w:cs="Times New Roman"/>
          <w:color w:val="000000"/>
          <w:sz w:val="20"/>
          <w:szCs w:val="20"/>
        </w:rPr>
        <w:t xml:space="preserve"> 1 and normalized read count </w:t>
      </w:r>
      <w:r w:rsidR="00025D83">
        <w:rPr>
          <w:rFonts w:ascii="Times New Roman" w:eastAsia="Times New Roman" w:hAnsi="Times New Roman" w:cs="Times New Roman"/>
          <w:color w:val="000000"/>
          <w:sz w:val="20"/>
          <w:szCs w:val="20"/>
        </w:rPr>
        <w:sym w:font="Symbol" w:char="F0B3"/>
      </w:r>
      <w:r w:rsidR="00025D83">
        <w:rPr>
          <w:rFonts w:ascii="Times New Roman" w:eastAsia="Times New Roman" w:hAnsi="Times New Roman" w:cs="Times New Roman"/>
          <w:color w:val="000000"/>
          <w:sz w:val="20"/>
          <w:szCs w:val="20"/>
        </w:rPr>
        <w:t xml:space="preserve"> 30 in mRNA-Seq) </w:t>
      </w:r>
      <w:r w:rsidR="00D044BC">
        <w:rPr>
          <w:rFonts w:ascii="Times New Roman" w:eastAsia="Times New Roman" w:hAnsi="Times New Roman" w:cs="Times New Roman"/>
          <w:color w:val="000000"/>
          <w:sz w:val="20"/>
          <w:szCs w:val="20"/>
        </w:rPr>
        <w:t xml:space="preserve">in </w:t>
      </w:r>
      <w:r w:rsidR="00C02463">
        <w:rPr>
          <w:rFonts w:ascii="Times New Roman" w:eastAsia="Times New Roman" w:hAnsi="Times New Roman" w:cs="Times New Roman"/>
          <w:color w:val="000000"/>
          <w:sz w:val="20"/>
          <w:szCs w:val="20"/>
        </w:rPr>
        <w:t>multiple</w:t>
      </w:r>
      <w:r w:rsidR="00D044BC">
        <w:rPr>
          <w:rFonts w:ascii="Times New Roman" w:eastAsia="Times New Roman" w:hAnsi="Times New Roman" w:cs="Times New Roman"/>
          <w:color w:val="000000"/>
          <w:sz w:val="20"/>
          <w:szCs w:val="20"/>
        </w:rPr>
        <w:t xml:space="preserve"> sample</w:t>
      </w:r>
      <w:r w:rsidR="00C02463">
        <w:rPr>
          <w:rFonts w:ascii="Times New Roman" w:eastAsia="Times New Roman" w:hAnsi="Times New Roman" w:cs="Times New Roman"/>
          <w:color w:val="000000"/>
          <w:sz w:val="20"/>
          <w:szCs w:val="20"/>
        </w:rPr>
        <w:t>s</w:t>
      </w:r>
      <w:r w:rsidR="00D044BC">
        <w:rPr>
          <w:rFonts w:ascii="Times New Roman" w:eastAsia="Times New Roman" w:hAnsi="Times New Roman" w:cs="Times New Roman"/>
          <w:color w:val="000000"/>
          <w:sz w:val="20"/>
          <w:szCs w:val="20"/>
        </w:rPr>
        <w:t xml:space="preserve">, </w:t>
      </w:r>
      <w:r w:rsidR="00025D83" w:rsidRPr="003B5EC5">
        <w:rPr>
          <w:rFonts w:ascii="Times New Roman" w:eastAsia="Times New Roman" w:hAnsi="Times New Roman" w:cs="Times New Roman"/>
          <w:i/>
          <w:color w:val="000000"/>
          <w:sz w:val="20"/>
          <w:szCs w:val="20"/>
        </w:rPr>
        <w:t>P</w:t>
      </w:r>
      <w:r w:rsidR="00025D83" w:rsidRPr="003B5EC5">
        <w:rPr>
          <w:rFonts w:ascii="Times New Roman" w:eastAsia="Times New Roman" w:hAnsi="Times New Roman" w:cs="Times New Roman"/>
          <w:i/>
          <w:color w:val="000000"/>
          <w:sz w:val="20"/>
          <w:szCs w:val="20"/>
          <w:vertAlign w:val="subscript"/>
        </w:rPr>
        <w:t>m</w:t>
      </w:r>
      <w:r w:rsidR="00025D83" w:rsidRPr="003B5EC5">
        <w:rPr>
          <w:rFonts w:ascii="Times New Roman" w:eastAsia="Times New Roman" w:hAnsi="Times New Roman" w:cs="Times New Roman"/>
          <w:color w:val="000000"/>
          <w:sz w:val="20"/>
          <w:szCs w:val="20"/>
        </w:rPr>
        <w:t>(</w:t>
      </w:r>
      <w:r w:rsidR="00025D83" w:rsidRPr="003B5EC5">
        <w:rPr>
          <w:rFonts w:ascii="Times New Roman" w:eastAsia="Times New Roman" w:hAnsi="Times New Roman" w:cs="Times New Roman"/>
          <w:i/>
          <w:color w:val="000000"/>
          <w:sz w:val="20"/>
          <w:szCs w:val="20"/>
        </w:rPr>
        <w:t>R</w:t>
      </w:r>
      <w:r w:rsidR="00025D83" w:rsidRPr="003B5EC5">
        <w:rPr>
          <w:rFonts w:ascii="Times New Roman" w:eastAsia="Times New Roman" w:hAnsi="Times New Roman" w:cs="Times New Roman"/>
          <w:i/>
          <w:color w:val="000000"/>
          <w:sz w:val="20"/>
          <w:szCs w:val="20"/>
          <w:vertAlign w:val="subscript"/>
        </w:rPr>
        <w:t>0</w:t>
      </w:r>
      <w:r w:rsidR="00025D83" w:rsidRPr="003B5EC5">
        <w:rPr>
          <w:rFonts w:ascii="Times New Roman" w:eastAsia="Times New Roman" w:hAnsi="Times New Roman" w:cs="Times New Roman"/>
          <w:color w:val="000000"/>
          <w:sz w:val="20"/>
          <w:szCs w:val="20"/>
        </w:rPr>
        <w:t>)</w:t>
      </w:r>
      <w:r w:rsidR="00025D83">
        <w:rPr>
          <w:rFonts w:ascii="Times New Roman" w:eastAsia="Times New Roman" w:hAnsi="Times New Roman" w:cs="Times New Roman"/>
          <w:color w:val="000000"/>
          <w:sz w:val="20"/>
          <w:szCs w:val="20"/>
        </w:rPr>
        <w:t xml:space="preserve"> values were aggregated with Fisher’s method or calculated after pooling the mRNA or RPF reads across those samples.</w:t>
      </w:r>
    </w:p>
    <w:p w:rsidR="00EA09B5" w:rsidRPr="003B5EC5" w:rsidRDefault="00EA09B5" w:rsidP="00EA09B5">
      <w:pPr>
        <w:spacing w:line="276" w:lineRule="auto"/>
        <w:jc w:val="both"/>
        <w:rPr>
          <w:rFonts w:ascii="Times New Roman" w:eastAsia="Times New Roman" w:hAnsi="Times New Roman" w:cs="Times New Roman"/>
          <w:color w:val="000000"/>
          <w:sz w:val="20"/>
          <w:szCs w:val="20"/>
        </w:rPr>
      </w:pPr>
      <w:r w:rsidRPr="003B5EC5">
        <w:rPr>
          <w:rFonts w:ascii="Times New Roman" w:eastAsia="Times New Roman" w:hAnsi="Times New Roman" w:cs="Times New Roman"/>
          <w:color w:val="000000"/>
          <w:sz w:val="20"/>
          <w:szCs w:val="20"/>
        </w:rPr>
        <w:t xml:space="preserve">For each class, percentage of uORFs with zero RPFs among all uORFs </w:t>
      </w:r>
      <w:r w:rsidR="00C91E93">
        <w:rPr>
          <w:rFonts w:ascii="Times New Roman" w:eastAsia="Times New Roman" w:hAnsi="Times New Roman" w:cs="Times New Roman"/>
          <w:color w:val="000000"/>
          <w:sz w:val="20"/>
          <w:szCs w:val="20"/>
        </w:rPr>
        <w:t>well transcribed</w:t>
      </w:r>
      <w:r w:rsidRPr="003B5EC5">
        <w:rPr>
          <w:rFonts w:ascii="Times New Roman" w:eastAsia="Times New Roman" w:hAnsi="Times New Roman" w:cs="Times New Roman"/>
          <w:color w:val="000000"/>
          <w:sz w:val="20"/>
          <w:szCs w:val="20"/>
        </w:rPr>
        <w:t xml:space="preserve"> in at least one sample was shown in parenthesis.</w:t>
      </w:r>
    </w:p>
    <w:p w:rsidR="00EA09B5" w:rsidRPr="003B5EC5" w:rsidRDefault="00EA09B5" w:rsidP="00EA09B5">
      <w:pPr>
        <w:spacing w:line="276" w:lineRule="auto"/>
        <w:jc w:val="both"/>
        <w:rPr>
          <w:rFonts w:ascii="Times New Roman" w:eastAsia="Times New Roman" w:hAnsi="Times New Roman" w:cs="Times New Roman"/>
          <w:color w:val="000000"/>
          <w:sz w:val="20"/>
          <w:szCs w:val="20"/>
        </w:rPr>
      </w:pPr>
      <w:r w:rsidRPr="003B5EC5">
        <w:rPr>
          <w:rFonts w:ascii="Times New Roman" w:eastAsia="Times New Roman" w:hAnsi="Times New Roman" w:cs="Times New Roman"/>
          <w:color w:val="000000"/>
          <w:sz w:val="20"/>
          <w:szCs w:val="20"/>
        </w:rPr>
        <w:t>* percentage of well translated uORFs that are truly not translated under different null hypothesis is calculated relative to all uORFs well expressed with zero RPFs in at least one sample in this class.</w:t>
      </w:r>
    </w:p>
    <w:p w:rsidR="00EA09B5" w:rsidRPr="003B5EC5" w:rsidRDefault="00EA09B5" w:rsidP="00EA09B5">
      <w:pPr>
        <w:spacing w:line="276" w:lineRule="auto"/>
        <w:jc w:val="both"/>
        <w:rPr>
          <w:rFonts w:ascii="Times New Roman" w:eastAsia="Times New Roman" w:hAnsi="Times New Roman" w:cs="Times New Roman"/>
          <w:color w:val="000000"/>
          <w:sz w:val="20"/>
          <w:szCs w:val="20"/>
        </w:rPr>
      </w:pPr>
      <w:r w:rsidRPr="003B5EC5">
        <w:rPr>
          <w:rFonts w:ascii="Times New Roman" w:eastAsia="Times New Roman" w:hAnsi="Times New Roman" w:cs="Times New Roman"/>
          <w:color w:val="000000"/>
          <w:sz w:val="20"/>
          <w:szCs w:val="20"/>
        </w:rPr>
        <w:t>The number of significant uORFs were determined at an FDR of 0.05.</w:t>
      </w:r>
    </w:p>
    <w:p w:rsidR="002F67C8" w:rsidRDefault="002F67C8"/>
    <w:sectPr w:rsidR="002F67C8" w:rsidSect="005D32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B5"/>
    <w:rsid w:val="00020216"/>
    <w:rsid w:val="00025D83"/>
    <w:rsid w:val="000934C7"/>
    <w:rsid w:val="000A1FB7"/>
    <w:rsid w:val="001B122D"/>
    <w:rsid w:val="001F2510"/>
    <w:rsid w:val="00203F50"/>
    <w:rsid w:val="00272BFF"/>
    <w:rsid w:val="002A72F5"/>
    <w:rsid w:val="002F67C8"/>
    <w:rsid w:val="003658EE"/>
    <w:rsid w:val="004206D7"/>
    <w:rsid w:val="0045564F"/>
    <w:rsid w:val="00490843"/>
    <w:rsid w:val="00497F14"/>
    <w:rsid w:val="005132FA"/>
    <w:rsid w:val="005C3972"/>
    <w:rsid w:val="005D32B3"/>
    <w:rsid w:val="006A77B1"/>
    <w:rsid w:val="006F2243"/>
    <w:rsid w:val="00731FBE"/>
    <w:rsid w:val="00740982"/>
    <w:rsid w:val="00793A5A"/>
    <w:rsid w:val="007B5DE0"/>
    <w:rsid w:val="007C1E17"/>
    <w:rsid w:val="00805AAC"/>
    <w:rsid w:val="008720FA"/>
    <w:rsid w:val="008913C8"/>
    <w:rsid w:val="00913039"/>
    <w:rsid w:val="009132C9"/>
    <w:rsid w:val="00954ADF"/>
    <w:rsid w:val="00C02463"/>
    <w:rsid w:val="00C12926"/>
    <w:rsid w:val="00C91E93"/>
    <w:rsid w:val="00CD5202"/>
    <w:rsid w:val="00D044BC"/>
    <w:rsid w:val="00D52652"/>
    <w:rsid w:val="00EA09B5"/>
    <w:rsid w:val="00EB184F"/>
    <w:rsid w:val="00F03466"/>
    <w:rsid w:val="00F44F91"/>
    <w:rsid w:val="00F60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CD9BD0"/>
  <w14:defaultImageDpi w14:val="32767"/>
  <w15:chartTrackingRefBased/>
  <w15:docId w15:val="{0C6B33F6-136B-0444-A154-7025CBE3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dc:creator>
  <cp:keywords/>
  <dc:description/>
  <cp:lastModifiedBy>hong</cp:lastModifiedBy>
  <cp:revision>15</cp:revision>
  <dcterms:created xsi:type="dcterms:W3CDTF">2018-04-27T09:02:00Z</dcterms:created>
  <dcterms:modified xsi:type="dcterms:W3CDTF">2018-05-04T05:41:00Z</dcterms:modified>
</cp:coreProperties>
</file>