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E98E" w14:textId="7313C911" w:rsidR="001F6435" w:rsidRPr="001F6435" w:rsidRDefault="00914495" w:rsidP="00BE7672">
      <w:pPr>
        <w:ind w:left="90" w:right="450"/>
        <w:rPr>
          <w:b/>
          <w:vertAlign w:val="superscript"/>
        </w:rPr>
      </w:pPr>
      <w:r w:rsidRPr="00914495">
        <w:rPr>
          <w:b/>
        </w:rPr>
        <w:t>Table S5. Buried surface area comparison of CPXV203/MHCI to similar interfaces.</w:t>
      </w:r>
    </w:p>
    <w:tbl>
      <w:tblPr>
        <w:tblStyle w:val="TableGrid"/>
        <w:tblpPr w:leftFromText="180" w:rightFromText="180" w:vertAnchor="page" w:horzAnchor="page" w:tblpX="1619" w:tblpY="1671"/>
        <w:tblW w:w="0" w:type="auto"/>
        <w:tblLook w:val="04A0" w:firstRow="1" w:lastRow="0" w:firstColumn="1" w:lastColumn="0" w:noHBand="0" w:noVBand="1"/>
      </w:tblPr>
      <w:tblGrid>
        <w:gridCol w:w="1787"/>
        <w:gridCol w:w="1637"/>
        <w:gridCol w:w="1366"/>
        <w:gridCol w:w="1465"/>
        <w:gridCol w:w="1450"/>
        <w:gridCol w:w="1389"/>
        <w:gridCol w:w="1388"/>
        <w:gridCol w:w="1462"/>
      </w:tblGrid>
      <w:tr w:rsidR="008A50AC" w:rsidRPr="003B76FA" w14:paraId="5E67A6FF" w14:textId="19A33CBF" w:rsidTr="00EE2D44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8408E6" w14:textId="67C4C20F" w:rsidR="008A50AC" w:rsidRPr="001F6435" w:rsidRDefault="008A50AC" w:rsidP="00914495">
            <w:pPr>
              <w:ind w:left="90"/>
              <w:rPr>
                <w:b/>
                <w:vertAlign w:val="superscrip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562F34" w14:textId="46C472F7" w:rsidR="008A50AC" w:rsidRPr="002B1AC4" w:rsidRDefault="008A50AC" w:rsidP="00EE2D44">
            <w:pPr>
              <w:ind w:left="90"/>
              <w:jc w:val="center"/>
              <w:rPr>
                <w:b/>
              </w:rPr>
            </w:pPr>
            <w:r w:rsidRPr="0096199F">
              <w:rPr>
                <w:b/>
              </w:rPr>
              <w:t>CPXV203/H-2K</w:t>
            </w:r>
            <w:r w:rsidRPr="0096199F">
              <w:rPr>
                <w:b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5DBAF3" w14:textId="5F6DCF83" w:rsidR="008A50AC" w:rsidRPr="001F6435" w:rsidRDefault="008A50AC" w:rsidP="00EE2D44">
            <w:pPr>
              <w:ind w:left="90"/>
              <w:jc w:val="center"/>
              <w:rPr>
                <w:b/>
              </w:rPr>
            </w:pPr>
            <w:r w:rsidRPr="0096199F">
              <w:rPr>
                <w:b/>
              </w:rPr>
              <w:t>US2/HLA-A2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D9ED0B" w14:textId="1E27339D" w:rsidR="008A50AC" w:rsidRPr="002B1AC4" w:rsidRDefault="008A50AC" w:rsidP="00EE2D44">
            <w:pPr>
              <w:ind w:left="90"/>
              <w:jc w:val="center"/>
              <w:rPr>
                <w:b/>
              </w:rPr>
            </w:pPr>
            <w:r w:rsidRPr="0096199F">
              <w:rPr>
                <w:b/>
              </w:rPr>
              <w:t>CD8</w:t>
            </w:r>
            <w:r w:rsidRPr="0096199F">
              <w:rPr>
                <w:rFonts w:ascii="Symbol" w:hAnsi="Symbol"/>
                <w:b/>
              </w:rPr>
              <w:t></w:t>
            </w:r>
            <w:r w:rsidRPr="0096199F">
              <w:rPr>
                <w:rFonts w:ascii="Symbol" w:hAnsi="Symbol"/>
                <w:b/>
              </w:rPr>
              <w:t></w:t>
            </w:r>
            <w:r w:rsidRPr="0096199F">
              <w:rPr>
                <w:b/>
              </w:rPr>
              <w:t>/H-2K</w:t>
            </w:r>
            <w:r w:rsidRPr="0096199F">
              <w:rPr>
                <w:b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AADF02" w14:textId="4B6CB811" w:rsidR="008A50AC" w:rsidRPr="0096199F" w:rsidRDefault="008A50AC" w:rsidP="00EE2D44">
            <w:pPr>
              <w:ind w:left="90"/>
              <w:jc w:val="center"/>
              <w:rPr>
                <w:b/>
              </w:rPr>
            </w:pPr>
            <w:r w:rsidRPr="008A50AC">
              <w:rPr>
                <w:b/>
              </w:rPr>
              <w:t>CD8</w:t>
            </w:r>
            <w:r w:rsidRPr="008A50AC">
              <w:rPr>
                <w:rFonts w:ascii="Symbol" w:hAnsi="Symbol"/>
                <w:b/>
              </w:rPr>
              <w:t></w:t>
            </w:r>
            <w:r w:rsidRPr="008A50AC">
              <w:rPr>
                <w:rFonts w:ascii="Symbol" w:hAnsi="Symbol"/>
                <w:b/>
              </w:rPr>
              <w:t></w:t>
            </w:r>
            <w:r w:rsidRPr="008A50AC">
              <w:rPr>
                <w:b/>
              </w:rPr>
              <w:t>/H-2D</w:t>
            </w:r>
            <w:r w:rsidRPr="008A50AC">
              <w:rPr>
                <w:b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C77401" w14:textId="1BB9A00C" w:rsidR="008A50AC" w:rsidRPr="0096199F" w:rsidRDefault="00FD6B24" w:rsidP="00EE2D44">
            <w:pPr>
              <w:ind w:left="90"/>
              <w:jc w:val="center"/>
              <w:rPr>
                <w:b/>
              </w:rPr>
            </w:pPr>
            <w:r w:rsidRPr="00FD6B24">
              <w:rPr>
                <w:b/>
              </w:rPr>
              <w:t>Ly49A/H-2D</w:t>
            </w:r>
            <w:r w:rsidRPr="00FD6B24">
              <w:rPr>
                <w:b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B85980" w14:textId="716E015C" w:rsidR="008A50AC" w:rsidRPr="0096199F" w:rsidRDefault="00EE2D44" w:rsidP="00EE2D44">
            <w:pPr>
              <w:ind w:left="90"/>
              <w:jc w:val="center"/>
              <w:rPr>
                <w:b/>
              </w:rPr>
            </w:pPr>
            <w:r w:rsidRPr="00EE2D44">
              <w:rPr>
                <w:b/>
              </w:rPr>
              <w:t>Ly49C/H-2K</w:t>
            </w:r>
            <w:r w:rsidRPr="00EE2D44">
              <w:rPr>
                <w:b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5E26BB" w14:textId="115FCF5B" w:rsidR="008A50AC" w:rsidRPr="0096199F" w:rsidRDefault="00EE2D44" w:rsidP="00EE2D44">
            <w:pPr>
              <w:ind w:left="90"/>
              <w:jc w:val="center"/>
              <w:rPr>
                <w:b/>
              </w:rPr>
            </w:pPr>
            <w:r w:rsidRPr="00EE2D44">
              <w:rPr>
                <w:b/>
              </w:rPr>
              <w:t>LIR-1/HLA-A2</w:t>
            </w:r>
          </w:p>
        </w:tc>
      </w:tr>
      <w:tr w:rsidR="00ED01C8" w:rsidRPr="003B76FA" w14:paraId="02750071" w14:textId="0500A862" w:rsidTr="00EE1D11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7E62F9" w14:textId="30625EE0" w:rsidR="00ED01C8" w:rsidRPr="003B76FA" w:rsidRDefault="00ED01C8" w:rsidP="00EE2D44">
            <w:pPr>
              <w:ind w:left="90"/>
              <w:jc w:val="center"/>
            </w:pPr>
            <w:r w:rsidRPr="00027E2A">
              <w:t>Receptor/MHCI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0A7B83C" w14:textId="4D823A0A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3342 (558)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D539E1B" w14:textId="291E3741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1272 (223)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BE53026" w14:textId="05E71AFD" w:rsidR="00ED01C8" w:rsidRPr="00386B74" w:rsidRDefault="00ED01C8" w:rsidP="00EE2D44">
            <w:pPr>
              <w:ind w:left="90"/>
              <w:jc w:val="center"/>
              <w:rPr>
                <w:vertAlign w:val="superscript"/>
              </w:rPr>
            </w:pPr>
            <w:r w:rsidRPr="00386B74">
              <w:rPr>
                <w:rFonts w:eastAsia="Times New Roman" w:cs="Times New Roman"/>
                <w:color w:val="000000"/>
              </w:rPr>
              <w:t>2936 (270)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622FF50" w14:textId="1FCD3346" w:rsidR="00ED01C8" w:rsidRPr="00254270" w:rsidRDefault="00ED01C8" w:rsidP="00EE2D44">
            <w:pPr>
              <w:ind w:left="90"/>
              <w:jc w:val="center"/>
              <w:rPr>
                <w:vertAlign w:val="superscript"/>
              </w:rPr>
            </w:pPr>
            <w:r w:rsidRPr="00254270">
              <w:rPr>
                <w:rFonts w:eastAsia="Times New Roman" w:cs="Times New Roman"/>
                <w:color w:val="000000"/>
              </w:rPr>
              <w:t>1501 (149)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497066F" w14:textId="3C98FB31" w:rsidR="00ED01C8" w:rsidRPr="006022C6" w:rsidRDefault="00ED01C8" w:rsidP="00EE2D44">
            <w:pPr>
              <w:ind w:left="90"/>
              <w:jc w:val="center"/>
              <w:rPr>
                <w:vertAlign w:val="superscript"/>
              </w:rPr>
            </w:pPr>
            <w:r w:rsidRPr="006022C6">
              <w:rPr>
                <w:rFonts w:eastAsia="Times New Roman" w:cs="Times New Roman"/>
                <w:color w:val="000000"/>
              </w:rPr>
              <w:t>3343 (343)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9DC1845" w14:textId="09057687" w:rsidR="00ED01C8" w:rsidRPr="00596741" w:rsidRDefault="00ED01C8" w:rsidP="00EE2D44">
            <w:pPr>
              <w:ind w:left="90"/>
              <w:jc w:val="center"/>
              <w:rPr>
                <w:vertAlign w:val="superscript"/>
              </w:rPr>
            </w:pPr>
            <w:r w:rsidRPr="00596741">
              <w:rPr>
                <w:rFonts w:eastAsia="Times New Roman" w:cs="Times New Roman"/>
                <w:color w:val="000000"/>
              </w:rPr>
              <w:t>2368 (222)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5485FEB" w14:textId="576B1D8D" w:rsidR="00ED01C8" w:rsidRPr="00ED01C8" w:rsidRDefault="00ED01C8" w:rsidP="00EE2D44">
            <w:pPr>
              <w:ind w:left="90"/>
              <w:jc w:val="center"/>
              <w:rPr>
                <w:vertAlign w:val="superscript"/>
              </w:rPr>
            </w:pPr>
            <w:r w:rsidRPr="00ED01C8">
              <w:rPr>
                <w:rFonts w:eastAsia="Times New Roman" w:cs="Times New Roman"/>
                <w:color w:val="000000"/>
              </w:rPr>
              <w:t>1712 (315)</w:t>
            </w:r>
          </w:p>
        </w:tc>
      </w:tr>
      <w:tr w:rsidR="00ED01C8" w:rsidRPr="003B76FA" w14:paraId="539DCF34" w14:textId="44946335" w:rsidTr="00EE1D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9EB256" w14:textId="48DE8141" w:rsidR="00ED01C8" w:rsidRPr="003B76FA" w:rsidRDefault="00ED01C8" w:rsidP="00EE2D44">
            <w:pPr>
              <w:ind w:left="90"/>
              <w:jc w:val="center"/>
            </w:pPr>
            <w:r w:rsidRPr="00027E2A">
              <w:t>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C6B6E" w14:textId="17F974D7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1668 (263)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231CE" w14:textId="073A88A4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628 (85)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D7352" w14:textId="0E03007B" w:rsidR="00ED01C8" w:rsidRPr="00386B74" w:rsidRDefault="00ED01C8" w:rsidP="00EE2D44">
            <w:pPr>
              <w:ind w:left="90"/>
              <w:jc w:val="center"/>
            </w:pPr>
            <w:r w:rsidRPr="00386B74">
              <w:rPr>
                <w:rFonts w:eastAsia="Times New Roman" w:cs="Times New Roman"/>
                <w:color w:val="000000"/>
              </w:rPr>
              <w:t>1477 (147)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A7D88" w14:textId="1E34D7FA" w:rsidR="00ED01C8" w:rsidRPr="00254270" w:rsidRDefault="00ED01C8" w:rsidP="00EE2D44">
            <w:pPr>
              <w:ind w:left="90"/>
              <w:jc w:val="center"/>
            </w:pPr>
            <w:r w:rsidRPr="00254270">
              <w:rPr>
                <w:rFonts w:eastAsia="Times New Roman" w:cs="Times New Roman"/>
                <w:color w:val="000000"/>
              </w:rPr>
              <w:t>705 (62)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48A0D" w14:textId="53E96403" w:rsidR="00ED01C8" w:rsidRPr="006022C6" w:rsidRDefault="00ED01C8" w:rsidP="00EE2D44">
            <w:pPr>
              <w:ind w:left="90"/>
              <w:jc w:val="center"/>
            </w:pPr>
            <w:r w:rsidRPr="006022C6">
              <w:rPr>
                <w:rFonts w:eastAsia="Times New Roman" w:cs="Times New Roman"/>
                <w:color w:val="000000"/>
              </w:rPr>
              <w:t>1729 (149)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014CB" w14:textId="31A0E027" w:rsidR="00ED01C8" w:rsidRPr="00596741" w:rsidRDefault="00ED01C8" w:rsidP="00EE2D44">
            <w:pPr>
              <w:ind w:left="90"/>
              <w:jc w:val="center"/>
            </w:pPr>
            <w:r w:rsidRPr="00596741">
              <w:rPr>
                <w:rFonts w:eastAsia="Times New Roman" w:cs="Times New Roman"/>
                <w:color w:val="000000"/>
              </w:rPr>
              <w:t>1217 (92)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EC1DF" w14:textId="4359A0AF" w:rsidR="00ED01C8" w:rsidRPr="00ED01C8" w:rsidRDefault="00ED01C8" w:rsidP="00EE2D44">
            <w:pPr>
              <w:ind w:left="90"/>
              <w:jc w:val="center"/>
            </w:pPr>
            <w:r w:rsidRPr="00ED01C8">
              <w:rPr>
                <w:rFonts w:eastAsia="Times New Roman" w:cs="Times New Roman"/>
                <w:color w:val="000000"/>
              </w:rPr>
              <w:t>864 (144)</w:t>
            </w:r>
          </w:p>
        </w:tc>
      </w:tr>
      <w:tr w:rsidR="00ED01C8" w:rsidRPr="003B76FA" w14:paraId="1716C04D" w14:textId="4A5044C7" w:rsidTr="00EE1D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22E37E" w14:textId="63117F09" w:rsidR="00ED01C8" w:rsidRPr="003B76FA" w:rsidRDefault="00ED01C8" w:rsidP="00EE2D44">
            <w:pPr>
              <w:ind w:left="90"/>
              <w:jc w:val="center"/>
            </w:pPr>
            <w:r w:rsidRPr="00027E2A">
              <w:t>MHCI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E3E4E" w14:textId="58042276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1675 (295)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8EE89" w14:textId="6B98AEC0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645 (138)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3BA17" w14:textId="24361460" w:rsidR="00ED01C8" w:rsidRPr="00386B74" w:rsidRDefault="00ED01C8" w:rsidP="00EE2D44">
            <w:pPr>
              <w:ind w:left="90"/>
              <w:jc w:val="center"/>
              <w:rPr>
                <w:vertAlign w:val="superscript"/>
              </w:rPr>
            </w:pPr>
            <w:r w:rsidRPr="00386B74">
              <w:rPr>
                <w:rFonts w:eastAsia="Times New Roman" w:cs="Times New Roman"/>
                <w:color w:val="000000"/>
              </w:rPr>
              <w:t>1460 (123)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4B26B" w14:textId="6C4E5999" w:rsidR="00ED01C8" w:rsidRPr="00254270" w:rsidRDefault="00ED01C8" w:rsidP="00EE2D44">
            <w:pPr>
              <w:ind w:left="90"/>
              <w:jc w:val="center"/>
              <w:rPr>
                <w:vertAlign w:val="superscript"/>
              </w:rPr>
            </w:pPr>
            <w:r w:rsidRPr="00254270">
              <w:rPr>
                <w:rFonts w:eastAsia="Times New Roman" w:cs="Times New Roman"/>
                <w:color w:val="000000"/>
              </w:rPr>
              <w:t>797 (87)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68928" w14:textId="3BAE9F6E" w:rsidR="00ED01C8" w:rsidRPr="006022C6" w:rsidRDefault="00ED01C8" w:rsidP="00EE2D44">
            <w:pPr>
              <w:ind w:left="90"/>
              <w:jc w:val="center"/>
              <w:rPr>
                <w:vertAlign w:val="superscript"/>
              </w:rPr>
            </w:pPr>
            <w:r w:rsidRPr="006022C6">
              <w:rPr>
                <w:rFonts w:eastAsia="Times New Roman" w:cs="Times New Roman"/>
                <w:color w:val="000000"/>
              </w:rPr>
              <w:t>1614 (194)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13229" w14:textId="03C3FA1C" w:rsidR="00ED01C8" w:rsidRPr="00596741" w:rsidRDefault="00ED01C8" w:rsidP="00EE2D44">
            <w:pPr>
              <w:ind w:left="90"/>
              <w:jc w:val="center"/>
              <w:rPr>
                <w:vertAlign w:val="superscript"/>
              </w:rPr>
            </w:pPr>
            <w:r w:rsidRPr="00596741">
              <w:rPr>
                <w:rFonts w:eastAsia="Times New Roman" w:cs="Times New Roman"/>
                <w:color w:val="000000"/>
              </w:rPr>
              <w:t>1152 (130)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B6C0D" w14:textId="60763A15" w:rsidR="00ED01C8" w:rsidRPr="00ED01C8" w:rsidRDefault="00ED01C8" w:rsidP="00EE2D44">
            <w:pPr>
              <w:ind w:left="90"/>
              <w:jc w:val="center"/>
              <w:rPr>
                <w:vertAlign w:val="superscript"/>
              </w:rPr>
            </w:pPr>
            <w:r w:rsidRPr="00ED01C8">
              <w:rPr>
                <w:rFonts w:eastAsia="Times New Roman" w:cs="Times New Roman"/>
                <w:color w:val="000000"/>
              </w:rPr>
              <w:t>848 (171)</w:t>
            </w:r>
          </w:p>
        </w:tc>
      </w:tr>
      <w:tr w:rsidR="00ED01C8" w:rsidRPr="003B76FA" w14:paraId="694E199F" w14:textId="281CD576" w:rsidTr="00EE1D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C096F" w14:textId="083D115A" w:rsidR="00ED01C8" w:rsidRPr="003B76FA" w:rsidRDefault="00ED01C8" w:rsidP="00EE2D44">
            <w:pPr>
              <w:ind w:left="90"/>
              <w:jc w:val="center"/>
            </w:pPr>
            <w:r w:rsidRPr="00EE2D44">
              <w:rPr>
                <w:rFonts w:ascii="Symbol" w:hAnsi="Symbol"/>
              </w:rPr>
              <w:t></w:t>
            </w:r>
            <w:r w:rsidRPr="00027E2A">
              <w:t>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2E1C2" w14:textId="31AAF836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565 (125)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BA1AB" w14:textId="5B74FE46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62749" w14:textId="49B8685D" w:rsidR="00ED01C8" w:rsidRPr="00386B74" w:rsidRDefault="00ED01C8" w:rsidP="00EE2D44">
            <w:pPr>
              <w:ind w:left="90"/>
              <w:jc w:val="center"/>
            </w:pPr>
            <w:r w:rsidRPr="00386B74">
              <w:rPr>
                <w:rFonts w:eastAsia="Times New Roman" w:cs="Times New Roman"/>
                <w:color w:val="000000"/>
              </w:rPr>
              <w:t>233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2CBA6" w14:textId="14D0433D" w:rsidR="00ED01C8" w:rsidRPr="00254270" w:rsidRDefault="00ED01C8" w:rsidP="00EE2D44">
            <w:pPr>
              <w:ind w:left="90"/>
              <w:jc w:val="center"/>
            </w:pPr>
            <w:r w:rsidRPr="00254270">
              <w:rPr>
                <w:rFonts w:eastAsia="Times New Roman" w:cs="Times New Roman"/>
                <w:color w:val="000000"/>
              </w:rPr>
              <w:t>7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8440" w14:textId="35271EB8" w:rsidR="00ED01C8" w:rsidRPr="006022C6" w:rsidRDefault="00ED01C8" w:rsidP="00EE2D44">
            <w:pPr>
              <w:ind w:left="90"/>
              <w:jc w:val="center"/>
            </w:pPr>
            <w:r w:rsidRPr="006022C6">
              <w:rPr>
                <w:rFonts w:eastAsia="Times New Roman" w:cs="Times New Roman"/>
                <w:color w:val="000000"/>
              </w:rPr>
              <w:t>456 (59)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03FBD" w14:textId="105EB1A8" w:rsidR="00ED01C8" w:rsidRPr="00596741" w:rsidRDefault="00ED01C8" w:rsidP="00EE2D44">
            <w:pPr>
              <w:ind w:left="90"/>
              <w:jc w:val="center"/>
            </w:pPr>
            <w:r w:rsidRPr="00596741">
              <w:rPr>
                <w:rFonts w:eastAsia="Times New Roman" w:cs="Times New Roman"/>
                <w:color w:val="000000"/>
              </w:rPr>
              <w:t>281 (20)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5E62F" w14:textId="329F0FAC" w:rsidR="00ED01C8" w:rsidRPr="00ED01C8" w:rsidRDefault="00ED01C8" w:rsidP="00EE2D44">
            <w:pPr>
              <w:ind w:left="90"/>
              <w:jc w:val="center"/>
            </w:pPr>
            <w:r w:rsidRPr="00ED01C8">
              <w:rPr>
                <w:rFonts w:eastAsia="Times New Roman" w:cs="Times New Roman"/>
                <w:color w:val="000000"/>
              </w:rPr>
              <w:t>566 (129)</w:t>
            </w:r>
          </w:p>
        </w:tc>
      </w:tr>
      <w:tr w:rsidR="00ED01C8" w:rsidRPr="003B76FA" w14:paraId="0ADF73A9" w14:textId="2FCC7C81" w:rsidTr="00EE1D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39DD7F" w14:textId="29CF4E7D" w:rsidR="00ED01C8" w:rsidRPr="003B76FA" w:rsidRDefault="00ED01C8" w:rsidP="00EE2D44">
            <w:pPr>
              <w:ind w:left="90"/>
              <w:jc w:val="center"/>
            </w:pPr>
            <w:r w:rsidRPr="00027E2A">
              <w:t>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35130" w14:textId="07010650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1110 (170)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E889D" w14:textId="324BAD74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645 (138)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BB158" w14:textId="4288882F" w:rsidR="00ED01C8" w:rsidRPr="00386B74" w:rsidRDefault="00ED01C8" w:rsidP="00EE2D44">
            <w:pPr>
              <w:ind w:left="90"/>
              <w:jc w:val="center"/>
            </w:pPr>
            <w:r w:rsidRPr="00386B74">
              <w:rPr>
                <w:rFonts w:eastAsia="Times New Roman" w:cs="Times New Roman"/>
                <w:color w:val="000000"/>
              </w:rPr>
              <w:t>1226 (114)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12049" w14:textId="14B029FE" w:rsidR="00ED01C8" w:rsidRPr="00254270" w:rsidRDefault="00ED01C8" w:rsidP="00EE2D44">
            <w:pPr>
              <w:ind w:left="90"/>
              <w:jc w:val="center"/>
            </w:pPr>
            <w:r w:rsidRPr="00254270">
              <w:rPr>
                <w:rFonts w:eastAsia="Times New Roman" w:cs="Times New Roman"/>
                <w:color w:val="000000"/>
              </w:rPr>
              <w:t>790 (87)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41A55" w14:textId="38D257EE" w:rsidR="00ED01C8" w:rsidRPr="006022C6" w:rsidRDefault="00ED01C8" w:rsidP="00EE2D44">
            <w:pPr>
              <w:ind w:left="90"/>
              <w:jc w:val="center"/>
            </w:pPr>
            <w:r w:rsidRPr="006022C6">
              <w:rPr>
                <w:rFonts w:eastAsia="Times New Roman" w:cs="Times New Roman"/>
                <w:color w:val="000000"/>
              </w:rPr>
              <w:t>1159 (135)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69581" w14:textId="1BD23753" w:rsidR="00ED01C8" w:rsidRPr="00596741" w:rsidRDefault="00ED01C8" w:rsidP="00EE2D44">
            <w:pPr>
              <w:ind w:left="90"/>
              <w:jc w:val="center"/>
            </w:pPr>
            <w:r w:rsidRPr="00596741">
              <w:rPr>
                <w:rFonts w:eastAsia="Times New Roman" w:cs="Times New Roman"/>
                <w:color w:val="000000"/>
              </w:rPr>
              <w:t>871 (110)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13C33" w14:textId="1B28FD5F" w:rsidR="00ED01C8" w:rsidRPr="00ED01C8" w:rsidRDefault="00ED01C8" w:rsidP="00EE2D44">
            <w:pPr>
              <w:ind w:left="90"/>
              <w:jc w:val="center"/>
            </w:pPr>
            <w:r w:rsidRPr="00ED01C8">
              <w:rPr>
                <w:rFonts w:eastAsia="Times New Roman" w:cs="Times New Roman"/>
                <w:color w:val="000000"/>
              </w:rPr>
              <w:t>282 (43)</w:t>
            </w:r>
          </w:p>
        </w:tc>
      </w:tr>
      <w:tr w:rsidR="00ED01C8" w:rsidRPr="003B76FA" w14:paraId="635BF59F" w14:textId="3FFF5A7A" w:rsidTr="00EE1D11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64C315" w14:textId="1102CC02" w:rsidR="00ED01C8" w:rsidRPr="003B76FA" w:rsidRDefault="00ED01C8" w:rsidP="00EE2D44">
            <w:pPr>
              <w:ind w:left="90"/>
              <w:jc w:val="center"/>
            </w:pPr>
            <w:r w:rsidRPr="00027E2A">
              <w:t>Platform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99CC84E" w14:textId="4D5BE49B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566 (77)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EBD43B5" w14:textId="1C4A15CE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270 (72)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DDB5BC1" w14:textId="0ADD4918" w:rsidR="00ED01C8" w:rsidRPr="00386B74" w:rsidRDefault="00ED01C8" w:rsidP="00EE2D44">
            <w:pPr>
              <w:ind w:left="90"/>
              <w:jc w:val="center"/>
            </w:pPr>
            <w:r w:rsidRPr="00386B74">
              <w:rPr>
                <w:rFonts w:eastAsia="Times New Roman" w:cs="Times New Roman"/>
                <w:color w:val="000000"/>
              </w:rPr>
              <w:t>133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B0EA8EF" w14:textId="4547BCE8" w:rsidR="00ED01C8" w:rsidRPr="00254270" w:rsidRDefault="00ED01C8" w:rsidP="00EE2D44">
            <w:pPr>
              <w:ind w:left="90"/>
              <w:jc w:val="center"/>
            </w:pPr>
            <w:r w:rsidRPr="00254270">
              <w:rPr>
                <w:rFonts w:eastAsia="Times New Roman" w:cs="Times New Roman"/>
                <w:color w:val="000000"/>
              </w:rPr>
              <w:t>25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FE454BC" w14:textId="78840C31" w:rsidR="00ED01C8" w:rsidRPr="006022C6" w:rsidRDefault="00ED01C8" w:rsidP="00EE2D44">
            <w:pPr>
              <w:ind w:left="90"/>
              <w:jc w:val="center"/>
            </w:pPr>
            <w:r w:rsidRPr="006022C6">
              <w:rPr>
                <w:rFonts w:eastAsia="Times New Roman" w:cs="Times New Roman"/>
                <w:color w:val="000000"/>
              </w:rPr>
              <w:t>934 (130)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82218A1" w14:textId="6AA134F4" w:rsidR="00ED01C8" w:rsidRPr="00596741" w:rsidRDefault="00ED01C8" w:rsidP="00EE2D44">
            <w:pPr>
              <w:ind w:left="90"/>
              <w:jc w:val="center"/>
            </w:pPr>
            <w:r w:rsidRPr="00596741">
              <w:rPr>
                <w:rFonts w:eastAsia="Times New Roman" w:cs="Times New Roman"/>
                <w:color w:val="000000"/>
              </w:rPr>
              <w:t>555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23ECE04" w14:textId="0E8CEEB8" w:rsidR="00ED01C8" w:rsidRPr="00ED01C8" w:rsidRDefault="00ED01C8" w:rsidP="00EE2D44">
            <w:pPr>
              <w:ind w:left="90"/>
              <w:jc w:val="center"/>
            </w:pPr>
            <w:r w:rsidRPr="00ED01C8">
              <w:rPr>
                <w:rFonts w:eastAsia="Times New Roman" w:cs="Times New Roman"/>
                <w:color w:val="000000"/>
              </w:rPr>
              <w:t>0 (0)</w:t>
            </w:r>
          </w:p>
        </w:tc>
      </w:tr>
      <w:tr w:rsidR="00ED01C8" w:rsidRPr="003B76FA" w14:paraId="50661579" w14:textId="7E72452B" w:rsidTr="00EE1D11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EAAE00" w14:textId="33591DDA" w:rsidR="00ED01C8" w:rsidRPr="003B76FA" w:rsidRDefault="00ED01C8" w:rsidP="00EE2D44">
            <w:pPr>
              <w:ind w:left="90"/>
              <w:jc w:val="center"/>
            </w:pPr>
            <w:r w:rsidRPr="00EE2D44">
              <w:rPr>
                <w:rFonts w:ascii="Symbol" w:hAnsi="Symbol"/>
              </w:rPr>
              <w:t></w:t>
            </w:r>
            <w:r w:rsidRPr="00027E2A"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B221CA8" w14:textId="14E10E13" w:rsidR="00ED01C8" w:rsidRPr="0039646A" w:rsidRDefault="00ED01C8" w:rsidP="00386B7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5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39646A">
              <w:rPr>
                <w:rFonts w:eastAsia="Times New Roman" w:cs="Times New Roman"/>
                <w:color w:val="000000"/>
              </w:rPr>
              <w:t>(0)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6B206AB" w14:textId="6133516E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24 (19)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6B672FC" w14:textId="6649E546" w:rsidR="00ED01C8" w:rsidRPr="00386B74" w:rsidRDefault="00ED01C8" w:rsidP="00EE2D44">
            <w:pPr>
              <w:ind w:left="90"/>
              <w:jc w:val="center"/>
            </w:pPr>
            <w:r w:rsidRPr="00386B74">
              <w:rPr>
                <w:rFonts w:eastAsia="Times New Roman" w:cs="Times New Roman"/>
                <w:color w:val="000000"/>
              </w:rPr>
              <w:t>57 (0)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FECFAA8" w14:textId="6C26DCA1" w:rsidR="00ED01C8" w:rsidRPr="00254270" w:rsidRDefault="00ED01C8" w:rsidP="00EE2D44">
            <w:pPr>
              <w:ind w:left="90"/>
              <w:jc w:val="center"/>
            </w:pPr>
            <w:r w:rsidRPr="00254270">
              <w:rPr>
                <w:rFonts w:eastAsia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A6EB823" w14:textId="7CD49F9F" w:rsidR="00ED01C8" w:rsidRPr="006022C6" w:rsidRDefault="00ED01C8" w:rsidP="00EE2D44">
            <w:pPr>
              <w:ind w:left="90"/>
              <w:jc w:val="center"/>
            </w:pPr>
            <w:r w:rsidRPr="006022C6">
              <w:rPr>
                <w:rFonts w:eastAsia="Times New Roman" w:cs="Times New Roman"/>
                <w:color w:val="000000"/>
              </w:rPr>
              <w:t>298 (61)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CD03ECA" w14:textId="4579719F" w:rsidR="00ED01C8" w:rsidRPr="00596741" w:rsidRDefault="00ED01C8" w:rsidP="00EE2D44">
            <w:pPr>
              <w:ind w:left="90"/>
              <w:jc w:val="center"/>
            </w:pPr>
            <w:r w:rsidRPr="00596741">
              <w:rPr>
                <w:rFonts w:eastAsia="Times New Roman" w:cs="Times New Roman"/>
                <w:color w:val="000000"/>
              </w:rPr>
              <w:t>20 (0)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0D47B09" w14:textId="4FAECE14" w:rsidR="00ED01C8" w:rsidRPr="00ED01C8" w:rsidRDefault="00ED01C8" w:rsidP="00EE2D44">
            <w:pPr>
              <w:ind w:left="90"/>
              <w:jc w:val="center"/>
            </w:pPr>
            <w:r w:rsidRPr="00ED01C8">
              <w:rPr>
                <w:rFonts w:eastAsia="Times New Roman" w:cs="Times New Roman"/>
                <w:color w:val="000000"/>
              </w:rPr>
              <w:t>0 (0)</w:t>
            </w:r>
          </w:p>
        </w:tc>
      </w:tr>
      <w:tr w:rsidR="00ED01C8" w:rsidRPr="003B76FA" w14:paraId="6FCE4D37" w14:textId="7280B7D9" w:rsidTr="00EE1D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529A65" w14:textId="7CDB05B7" w:rsidR="00ED01C8" w:rsidRPr="003B76FA" w:rsidRDefault="00ED01C8" w:rsidP="00EE2D44">
            <w:pPr>
              <w:ind w:left="90"/>
              <w:jc w:val="center"/>
            </w:pPr>
            <w:r w:rsidRPr="00EE2D44">
              <w:rPr>
                <w:rFonts w:ascii="Symbol" w:hAnsi="Symbol"/>
              </w:rPr>
              <w:t></w:t>
            </w:r>
            <w:r w:rsidRPr="00027E2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A13EC" w14:textId="057FAA5F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560 (77)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B08B2" w14:textId="08C7E1C0" w:rsidR="00ED01C8" w:rsidRPr="0039646A" w:rsidRDefault="00ED01C8" w:rsidP="00EE2D44">
            <w:pPr>
              <w:ind w:left="90"/>
              <w:jc w:val="center"/>
              <w:rPr>
                <w:b/>
              </w:rPr>
            </w:pPr>
            <w:r w:rsidRPr="0039646A">
              <w:rPr>
                <w:rFonts w:eastAsia="Times New Roman" w:cs="Times New Roman"/>
                <w:color w:val="000000"/>
              </w:rPr>
              <w:t>246 (53)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964D7" w14:textId="3BED9A2D" w:rsidR="00ED01C8" w:rsidRPr="00386B74" w:rsidRDefault="00ED01C8" w:rsidP="00EE2D44">
            <w:pPr>
              <w:ind w:left="90"/>
              <w:jc w:val="center"/>
              <w:rPr>
                <w:vertAlign w:val="superscript"/>
              </w:rPr>
            </w:pPr>
            <w:r w:rsidRPr="00386B74">
              <w:rPr>
                <w:rFonts w:eastAsia="Times New Roman" w:cs="Times New Roman"/>
                <w:color w:val="000000"/>
              </w:rPr>
              <w:t>76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762E4" w14:textId="29EB1037" w:rsidR="00ED01C8" w:rsidRPr="00254270" w:rsidRDefault="00ED01C8" w:rsidP="00EE2D44">
            <w:pPr>
              <w:ind w:left="90"/>
              <w:jc w:val="center"/>
              <w:rPr>
                <w:vertAlign w:val="superscript"/>
              </w:rPr>
            </w:pPr>
            <w:r w:rsidRPr="00254270">
              <w:rPr>
                <w:rFonts w:eastAsia="Times New Roman" w:cs="Times New Roman"/>
                <w:color w:val="000000"/>
              </w:rPr>
              <w:t>25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6DF72" w14:textId="03FC7F4A" w:rsidR="00ED01C8" w:rsidRPr="006022C6" w:rsidRDefault="00ED01C8" w:rsidP="00EE2D44">
            <w:pPr>
              <w:ind w:left="90"/>
              <w:jc w:val="center"/>
              <w:rPr>
                <w:vertAlign w:val="superscript"/>
              </w:rPr>
            </w:pPr>
            <w:r w:rsidRPr="006022C6">
              <w:rPr>
                <w:rFonts w:eastAsia="Times New Roman" w:cs="Times New Roman"/>
                <w:color w:val="000000"/>
              </w:rPr>
              <w:t>636 (69)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855A8" w14:textId="5F08B9B3" w:rsidR="00ED01C8" w:rsidRPr="00596741" w:rsidRDefault="00ED01C8" w:rsidP="00EE2D44">
            <w:pPr>
              <w:ind w:left="90"/>
              <w:jc w:val="center"/>
              <w:rPr>
                <w:vertAlign w:val="superscript"/>
              </w:rPr>
            </w:pPr>
            <w:r w:rsidRPr="00596741">
              <w:rPr>
                <w:rFonts w:eastAsia="Times New Roman" w:cs="Times New Roman"/>
                <w:color w:val="000000"/>
              </w:rPr>
              <w:t>535 (63)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9E6C9" w14:textId="0024A8D1" w:rsidR="00ED01C8" w:rsidRPr="00ED01C8" w:rsidRDefault="00ED01C8" w:rsidP="00EE2D44">
            <w:pPr>
              <w:ind w:left="90"/>
              <w:jc w:val="center"/>
              <w:rPr>
                <w:vertAlign w:val="superscript"/>
              </w:rPr>
            </w:pPr>
            <w:r w:rsidRPr="00ED01C8">
              <w:rPr>
                <w:rFonts w:eastAsia="Times New Roman" w:cs="Times New Roman"/>
                <w:color w:val="000000"/>
              </w:rPr>
              <w:t>0 (0)</w:t>
            </w:r>
          </w:p>
        </w:tc>
      </w:tr>
      <w:tr w:rsidR="00ED01C8" w:rsidRPr="003B76FA" w14:paraId="5AF7CEEB" w14:textId="2FB78211" w:rsidTr="00EE1D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753143" w14:textId="79772F4B" w:rsidR="00ED01C8" w:rsidRPr="003B76FA" w:rsidRDefault="00ED01C8" w:rsidP="00EE2D44">
            <w:pPr>
              <w:ind w:left="90"/>
              <w:jc w:val="center"/>
            </w:pPr>
            <w:r w:rsidRPr="00EE2D44">
              <w:rPr>
                <w:rFonts w:ascii="Symbol" w:hAnsi="Symbol"/>
              </w:rPr>
              <w:t></w:t>
            </w:r>
            <w:r w:rsidRPr="00027E2A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FC1F7" w14:textId="0DB7C4B9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544 (93)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0E669" w14:textId="772C2EBB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375 (66)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44780" w14:textId="254091D5" w:rsidR="00ED01C8" w:rsidRPr="00386B74" w:rsidRDefault="00ED01C8" w:rsidP="00EE2D44">
            <w:pPr>
              <w:ind w:left="90"/>
              <w:jc w:val="center"/>
            </w:pPr>
            <w:r w:rsidRPr="00386B74">
              <w:rPr>
                <w:rFonts w:eastAsia="Times New Roman" w:cs="Times New Roman"/>
                <w:color w:val="000000"/>
              </w:rPr>
              <w:t>1093 (114)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94E2C" w14:textId="39D9CE0B" w:rsidR="00ED01C8" w:rsidRPr="00254270" w:rsidRDefault="00ED01C8" w:rsidP="00EE2D44">
            <w:pPr>
              <w:ind w:left="90"/>
              <w:jc w:val="center"/>
            </w:pPr>
            <w:r w:rsidRPr="00254270">
              <w:rPr>
                <w:rFonts w:eastAsia="Times New Roman" w:cs="Times New Roman"/>
                <w:color w:val="000000"/>
              </w:rPr>
              <w:t>765 (87)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5996B" w14:textId="08ABFC59" w:rsidR="00ED01C8" w:rsidRPr="006022C6" w:rsidRDefault="00ED01C8" w:rsidP="00EE2D44">
            <w:pPr>
              <w:ind w:left="90"/>
              <w:jc w:val="center"/>
            </w:pPr>
            <w:r w:rsidRPr="006022C6">
              <w:rPr>
                <w:rFonts w:eastAsia="Times New Roman" w:cs="Times New Roman"/>
                <w:color w:val="000000"/>
              </w:rPr>
              <w:t>224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AB07A" w14:textId="6CC8F92B" w:rsidR="00ED01C8" w:rsidRPr="00596741" w:rsidRDefault="00ED01C8" w:rsidP="00EE2D44">
            <w:pPr>
              <w:ind w:left="90"/>
              <w:jc w:val="center"/>
            </w:pPr>
            <w:r w:rsidRPr="00596741">
              <w:rPr>
                <w:rFonts w:eastAsia="Times New Roman" w:cs="Times New Roman"/>
                <w:color w:val="000000"/>
              </w:rPr>
              <w:t>316 (47)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57FDF" w14:textId="196CFB59" w:rsidR="00ED01C8" w:rsidRPr="00ED01C8" w:rsidRDefault="00ED01C8" w:rsidP="00EE2D44">
            <w:pPr>
              <w:ind w:left="90"/>
              <w:jc w:val="center"/>
            </w:pPr>
            <w:r w:rsidRPr="00ED01C8">
              <w:rPr>
                <w:rFonts w:eastAsia="Times New Roman" w:cs="Times New Roman"/>
                <w:color w:val="000000"/>
              </w:rPr>
              <w:t>282 (42)</w:t>
            </w:r>
          </w:p>
        </w:tc>
      </w:tr>
      <w:tr w:rsidR="00ED01C8" w:rsidRPr="003B76FA" w14:paraId="7D1BE8D8" w14:textId="2407629C" w:rsidTr="00EE1D11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C9E9E8" w14:textId="332D711E" w:rsidR="00ED01C8" w:rsidRPr="003B76FA" w:rsidRDefault="00ED01C8" w:rsidP="00EE2D44">
            <w:pPr>
              <w:ind w:left="90"/>
              <w:jc w:val="center"/>
            </w:pPr>
            <w:r w:rsidRPr="00027E2A">
              <w:t xml:space="preserve">Tpn/CD8 </w:t>
            </w:r>
            <w:r w:rsidRPr="00EE2D44">
              <w:rPr>
                <w:rFonts w:ascii="Symbol" w:hAnsi="Symbol"/>
              </w:rPr>
              <w:t></w:t>
            </w:r>
            <w:r w:rsidRPr="00027E2A">
              <w:t>3  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01F4FA2" w14:textId="5E02A840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441 (86)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C3ED87D" w14:textId="7509ADAC" w:rsidR="00ED01C8" w:rsidRPr="0039646A" w:rsidRDefault="00ED01C8" w:rsidP="00EE2D44">
            <w:pPr>
              <w:ind w:left="90"/>
              <w:jc w:val="center"/>
            </w:pPr>
            <w:r w:rsidRPr="0039646A">
              <w:rPr>
                <w:rFonts w:eastAsia="Times New Roman" w:cs="Times New Roman"/>
                <w:color w:val="000000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203F6B2" w14:textId="392757EB" w:rsidR="00ED01C8" w:rsidRPr="00386B74" w:rsidRDefault="00ED01C8" w:rsidP="00EE2D44">
            <w:pPr>
              <w:ind w:left="90"/>
              <w:jc w:val="center"/>
            </w:pPr>
            <w:r w:rsidRPr="00386B74">
              <w:rPr>
                <w:rFonts w:eastAsia="Times New Roman" w:cs="Times New Roman"/>
                <w:color w:val="000000"/>
              </w:rPr>
              <w:t>796 (101)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0C9F237" w14:textId="73C26172" w:rsidR="00ED01C8" w:rsidRPr="00254270" w:rsidRDefault="00ED01C8" w:rsidP="00EE2D44">
            <w:pPr>
              <w:ind w:left="90"/>
              <w:jc w:val="center"/>
            </w:pPr>
            <w:r w:rsidRPr="00254270">
              <w:rPr>
                <w:rFonts w:eastAsia="Times New Roman" w:cs="Times New Roman"/>
                <w:color w:val="000000"/>
              </w:rPr>
              <w:t>543 (76)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8996EAC" w14:textId="48FC9A3A" w:rsidR="00ED01C8" w:rsidRPr="006022C6" w:rsidRDefault="00ED01C8" w:rsidP="00EE2D44">
            <w:pPr>
              <w:ind w:left="90"/>
              <w:jc w:val="center"/>
            </w:pPr>
            <w:r w:rsidRPr="006022C6">
              <w:rPr>
                <w:rFonts w:eastAsia="Times New Roman" w:cs="Times New Roman"/>
                <w:color w:val="000000"/>
              </w:rPr>
              <w:t>128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B1AD2B" w14:textId="750BCB19" w:rsidR="00ED01C8" w:rsidRPr="00596741" w:rsidRDefault="00ED01C8" w:rsidP="00EE2D44">
            <w:pPr>
              <w:ind w:left="90"/>
              <w:jc w:val="center"/>
            </w:pPr>
            <w:r w:rsidRPr="00596741">
              <w:rPr>
                <w:rFonts w:eastAsia="Times New Roman" w:cs="Times New Roman"/>
                <w:color w:val="000000"/>
              </w:rPr>
              <w:t>152 (27)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A5EB0EB" w14:textId="04F33943" w:rsidR="00ED01C8" w:rsidRPr="00ED01C8" w:rsidRDefault="00ED01C8" w:rsidP="00EE2D44">
            <w:pPr>
              <w:ind w:left="90"/>
              <w:jc w:val="center"/>
            </w:pPr>
            <w:r w:rsidRPr="00ED01C8">
              <w:rPr>
                <w:rFonts w:eastAsia="Times New Roman" w:cs="Times New Roman"/>
                <w:color w:val="000000"/>
              </w:rPr>
              <w:t>5 (0)</w:t>
            </w:r>
          </w:p>
        </w:tc>
      </w:tr>
      <w:tr w:rsidR="00ED01C8" w:rsidRPr="003B76FA" w14:paraId="23D66502" w14:textId="2DB614B1" w:rsidTr="005752AB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C0B309" w14:textId="5D52F245" w:rsidR="00ED01C8" w:rsidRPr="003B76FA" w:rsidRDefault="00ED01C8" w:rsidP="00EE2D44">
            <w:pPr>
              <w:ind w:left="90"/>
              <w:jc w:val="right"/>
            </w:pPr>
            <w:r w:rsidRPr="00C35954">
              <w:t>Affinity (pH 7.4)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A130D2" w14:textId="0F0C7E23" w:rsidR="00ED01C8" w:rsidRPr="008533A9" w:rsidRDefault="00ED01C8" w:rsidP="00EE2D44">
            <w:pPr>
              <w:ind w:left="90"/>
              <w:jc w:val="center"/>
            </w:pPr>
            <w:r w:rsidRPr="009E7164">
              <w:t>480 nM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DAA5E2" w14:textId="18B3ED90" w:rsidR="00ED01C8" w:rsidRPr="0002768D" w:rsidRDefault="00ED01C8" w:rsidP="00EE2D44">
            <w:pPr>
              <w:ind w:left="90"/>
              <w:jc w:val="center"/>
              <w:rPr>
                <w:color w:val="808080" w:themeColor="background1" w:themeShade="80"/>
              </w:rPr>
            </w:pPr>
            <w:r w:rsidRPr="0002768D">
              <w:rPr>
                <w:color w:val="808080" w:themeColor="background1" w:themeShade="80"/>
              </w:rPr>
              <w:t>Low nM</w:t>
            </w:r>
            <w:r w:rsidRPr="0002768D">
              <w:rPr>
                <w:color w:val="808080" w:themeColor="background1" w:themeShade="8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1A8E6A" w14:textId="7235EC73" w:rsidR="00ED01C8" w:rsidRPr="003B76FA" w:rsidRDefault="00ED01C8" w:rsidP="00EE2D44">
            <w:pPr>
              <w:ind w:left="90"/>
              <w:jc w:val="center"/>
            </w:pPr>
            <w:r w:rsidRPr="00CA1798">
              <w:t>≥35000 nM</w:t>
            </w:r>
            <w:r w:rsidRPr="00386B74">
              <w:rPr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7B86D6" w14:textId="4354E768" w:rsidR="00ED01C8" w:rsidRPr="003B76FA" w:rsidRDefault="00ED01C8" w:rsidP="00EE2D44">
            <w:pPr>
              <w:ind w:left="90"/>
              <w:jc w:val="center"/>
            </w:pPr>
            <w:r w:rsidRPr="006B4A5A">
              <w:t>8200 nM</w:t>
            </w:r>
            <w:r w:rsidRPr="00254270">
              <w:rPr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39B446" w14:textId="11E4AFE0" w:rsidR="00ED01C8" w:rsidRPr="003B76FA" w:rsidRDefault="00ED01C8" w:rsidP="00EE2D44">
            <w:pPr>
              <w:ind w:left="90"/>
              <w:jc w:val="center"/>
            </w:pPr>
            <w:r w:rsidRPr="006B30A6">
              <w:t>≥6000 nM</w:t>
            </w:r>
            <w:r w:rsidRPr="00596741">
              <w:rPr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C49CD0" w14:textId="57F4160A" w:rsidR="00ED01C8" w:rsidRPr="003B76FA" w:rsidRDefault="00ED01C8" w:rsidP="00EE2D44">
            <w:pPr>
              <w:ind w:left="90"/>
              <w:jc w:val="center"/>
            </w:pPr>
            <w:r w:rsidRPr="006D402F">
              <w:t>≥80000 nM</w:t>
            </w:r>
            <w:r w:rsidRPr="00596741">
              <w:rPr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44A4AA" w14:textId="0AAAF2C9" w:rsidR="00ED01C8" w:rsidRPr="003B76FA" w:rsidRDefault="00ED01C8" w:rsidP="00EE2D44">
            <w:pPr>
              <w:ind w:left="90"/>
              <w:jc w:val="center"/>
            </w:pPr>
            <w:r w:rsidRPr="00ED01C8">
              <w:rPr>
                <w:color w:val="808080" w:themeColor="background1" w:themeShade="80"/>
              </w:rPr>
              <w:t>&gt;3000 nM</w:t>
            </w:r>
            <w:r w:rsidRPr="00ED01C8">
              <w:rPr>
                <w:vertAlign w:val="superscript"/>
              </w:rPr>
              <w:t>a</w:t>
            </w:r>
          </w:p>
        </w:tc>
      </w:tr>
      <w:tr w:rsidR="00ED01C8" w:rsidRPr="003B76FA" w14:paraId="48C174E2" w14:textId="0D6DE9D9" w:rsidTr="005752AB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EDB1CD" w14:textId="764F1363" w:rsidR="00ED01C8" w:rsidRPr="003B76FA" w:rsidRDefault="00ED01C8" w:rsidP="00EE2D44">
            <w:pPr>
              <w:ind w:left="90"/>
              <w:jc w:val="right"/>
            </w:pPr>
            <w:r w:rsidRPr="00C35954">
              <w:t xml:space="preserve"> (pH 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CAE888" w14:textId="6D4FB93D" w:rsidR="00ED01C8" w:rsidRPr="008533A9" w:rsidRDefault="00ED01C8" w:rsidP="00EE2D44">
            <w:pPr>
              <w:ind w:left="90"/>
              <w:jc w:val="center"/>
            </w:pPr>
            <w:r w:rsidRPr="009E7164">
              <w:t xml:space="preserve">  10 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4761FA" w14:textId="49AD70F9" w:rsidR="00ED01C8" w:rsidRPr="00353A6E" w:rsidRDefault="00ED01C8" w:rsidP="00EE2D44">
            <w:pPr>
              <w:ind w:left="90"/>
              <w:jc w:val="center"/>
            </w:pPr>
            <w:r w:rsidRPr="00677E44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8692FA" w14:textId="19BCE4CD" w:rsidR="00ED01C8" w:rsidRPr="003B76FA" w:rsidRDefault="00ED01C8" w:rsidP="00EE2D44">
            <w:pPr>
              <w:ind w:left="90"/>
              <w:jc w:val="center"/>
            </w:pPr>
            <w:r w:rsidRPr="00CA1798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D1A4E8" w14:textId="2B3E64F6" w:rsidR="00ED01C8" w:rsidRPr="003B76FA" w:rsidRDefault="00ED01C8" w:rsidP="00EE2D44">
            <w:pPr>
              <w:ind w:left="90"/>
              <w:jc w:val="center"/>
            </w:pPr>
            <w:r w:rsidRPr="006B4A5A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747A48" w14:textId="0D3BE98A" w:rsidR="00ED01C8" w:rsidRPr="003B76FA" w:rsidRDefault="00ED01C8" w:rsidP="00EE2D44">
            <w:pPr>
              <w:ind w:left="90"/>
              <w:jc w:val="center"/>
            </w:pPr>
            <w:r w:rsidRPr="006B30A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591501" w14:textId="49FE52AD" w:rsidR="00ED01C8" w:rsidRPr="003B76FA" w:rsidRDefault="00ED01C8" w:rsidP="00EE2D44">
            <w:pPr>
              <w:ind w:left="90"/>
              <w:jc w:val="center"/>
            </w:pPr>
            <w:r w:rsidRPr="006D402F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B0E660" w14:textId="5B30B11B" w:rsidR="00ED01C8" w:rsidRPr="003B76FA" w:rsidRDefault="00ED01C8" w:rsidP="00EE2D44">
            <w:pPr>
              <w:ind w:left="90"/>
              <w:jc w:val="center"/>
            </w:pPr>
            <w:r w:rsidRPr="00C3745D">
              <w:t xml:space="preserve">  -</w:t>
            </w:r>
          </w:p>
        </w:tc>
      </w:tr>
    </w:tbl>
    <w:p w14:paraId="021C3F57" w14:textId="3E6E469D" w:rsidR="00BE7672" w:rsidRDefault="00BE7672" w:rsidP="00BE7672">
      <w:pPr>
        <w:ind w:left="90" w:right="450"/>
        <w:rPr>
          <w:vertAlign w:val="superscript"/>
        </w:rPr>
      </w:pPr>
    </w:p>
    <w:p w14:paraId="10B69D3D" w14:textId="77777777" w:rsidR="00BE7672" w:rsidRDefault="00BE7672" w:rsidP="00BE7672">
      <w:pPr>
        <w:ind w:left="90" w:right="450"/>
        <w:rPr>
          <w:vertAlign w:val="superscript"/>
        </w:rPr>
      </w:pPr>
    </w:p>
    <w:p w14:paraId="48BADC38" w14:textId="77777777" w:rsidR="00BE7672" w:rsidRDefault="00BE7672" w:rsidP="00BE7672">
      <w:pPr>
        <w:ind w:left="90" w:right="450"/>
        <w:rPr>
          <w:vertAlign w:val="superscript"/>
        </w:rPr>
      </w:pPr>
    </w:p>
    <w:p w14:paraId="439F1D85" w14:textId="77777777" w:rsidR="00BE7672" w:rsidRDefault="00BE7672" w:rsidP="00BE7672">
      <w:pPr>
        <w:ind w:left="90" w:right="450"/>
        <w:rPr>
          <w:vertAlign w:val="superscript"/>
        </w:rPr>
      </w:pPr>
    </w:p>
    <w:p w14:paraId="4A3C549A" w14:textId="77777777" w:rsidR="00BE7672" w:rsidRDefault="00BE7672" w:rsidP="00BE7672">
      <w:pPr>
        <w:ind w:left="90" w:right="450"/>
        <w:rPr>
          <w:vertAlign w:val="superscript"/>
        </w:rPr>
      </w:pPr>
    </w:p>
    <w:p w14:paraId="07867742" w14:textId="77777777" w:rsidR="00BE7672" w:rsidRDefault="00BE7672" w:rsidP="00BE7672">
      <w:pPr>
        <w:ind w:left="90" w:right="450"/>
        <w:rPr>
          <w:vertAlign w:val="superscript"/>
        </w:rPr>
      </w:pPr>
    </w:p>
    <w:p w14:paraId="4C99D440" w14:textId="77777777" w:rsidR="00BE7672" w:rsidRDefault="00BE7672" w:rsidP="00BE7672">
      <w:pPr>
        <w:ind w:left="90" w:right="450"/>
        <w:rPr>
          <w:vertAlign w:val="superscript"/>
        </w:rPr>
      </w:pPr>
    </w:p>
    <w:p w14:paraId="44707AB5" w14:textId="77777777" w:rsidR="00BE7672" w:rsidRDefault="00BE7672" w:rsidP="00BE7672">
      <w:pPr>
        <w:ind w:left="90" w:right="450"/>
        <w:rPr>
          <w:vertAlign w:val="superscript"/>
        </w:rPr>
      </w:pPr>
    </w:p>
    <w:p w14:paraId="2A205B54" w14:textId="77777777" w:rsidR="00BE7672" w:rsidRDefault="00BE7672" w:rsidP="00BE7672">
      <w:pPr>
        <w:ind w:left="90" w:right="450"/>
        <w:rPr>
          <w:vertAlign w:val="superscript"/>
        </w:rPr>
      </w:pPr>
    </w:p>
    <w:p w14:paraId="365C7CBC" w14:textId="77777777" w:rsidR="00BE7672" w:rsidRDefault="00BE7672" w:rsidP="00BE7672">
      <w:pPr>
        <w:ind w:left="90" w:right="450"/>
        <w:rPr>
          <w:vertAlign w:val="superscript"/>
        </w:rPr>
      </w:pPr>
    </w:p>
    <w:p w14:paraId="1529FC43" w14:textId="77777777" w:rsidR="00BE7672" w:rsidRDefault="00BE7672" w:rsidP="00BE7672">
      <w:pPr>
        <w:ind w:left="90" w:right="450"/>
        <w:rPr>
          <w:vertAlign w:val="superscript"/>
        </w:rPr>
      </w:pPr>
    </w:p>
    <w:p w14:paraId="00C8EF8A" w14:textId="77777777" w:rsidR="00BE7672" w:rsidRDefault="00BE7672" w:rsidP="00BE7672">
      <w:pPr>
        <w:ind w:left="90" w:right="450"/>
        <w:rPr>
          <w:vertAlign w:val="superscript"/>
        </w:rPr>
      </w:pPr>
    </w:p>
    <w:p w14:paraId="379A28B2" w14:textId="77777777" w:rsidR="00BE7672" w:rsidRDefault="00BE7672" w:rsidP="00BE7672">
      <w:pPr>
        <w:ind w:left="90" w:right="450"/>
        <w:rPr>
          <w:vertAlign w:val="superscript"/>
        </w:rPr>
      </w:pPr>
    </w:p>
    <w:p w14:paraId="30180AE9" w14:textId="77777777" w:rsidR="00BE7672" w:rsidRDefault="00BE7672" w:rsidP="00BE7672">
      <w:pPr>
        <w:ind w:left="90" w:right="450"/>
        <w:rPr>
          <w:vertAlign w:val="superscript"/>
        </w:rPr>
      </w:pPr>
    </w:p>
    <w:p w14:paraId="1584D914" w14:textId="1E1C12C2" w:rsidR="00C73DB1" w:rsidRDefault="005000FE" w:rsidP="00C73DB1">
      <w:pPr>
        <w:ind w:left="90" w:right="900"/>
      </w:pPr>
      <w:r>
        <w:t xml:space="preserve">Buried surface areas (BSA) were </w:t>
      </w:r>
      <w:r w:rsidR="003A7CEA">
        <w:t>calculated</w:t>
      </w:r>
      <w:r>
        <w:t xml:space="preserve"> with NACCESS (Hubbard and Thornton, 1993) using a 1.4 Å probe. BSA results are listed as TOTAL (MAIN-CHAIN) Å</w:t>
      </w:r>
      <w:r w:rsidRPr="005000FE">
        <w:rPr>
          <w:vertAlign w:val="superscript"/>
        </w:rPr>
        <w:t>2</w:t>
      </w:r>
      <w:r>
        <w:t xml:space="preserve">. MHCI domains: </w:t>
      </w:r>
      <w:r w:rsidRPr="005000FE">
        <w:rPr>
          <w:rFonts w:ascii="Symbol" w:hAnsi="Symbol"/>
        </w:rPr>
        <w:t></w:t>
      </w:r>
      <w:r>
        <w:t xml:space="preserve">1 (1-90), </w:t>
      </w:r>
      <w:r w:rsidRPr="005000FE">
        <w:rPr>
          <w:rFonts w:ascii="Symbol" w:hAnsi="Symbol"/>
        </w:rPr>
        <w:t></w:t>
      </w:r>
      <w:r>
        <w:t xml:space="preserve">2 (91-180), </w:t>
      </w:r>
      <w:r w:rsidRPr="005000FE">
        <w:rPr>
          <w:rFonts w:ascii="Symbol" w:hAnsi="Symbol"/>
        </w:rPr>
        <w:t></w:t>
      </w:r>
      <w:r>
        <w:t xml:space="preserve">3 (181-274). Tpn/CD8 </w:t>
      </w:r>
      <w:r w:rsidRPr="005000FE">
        <w:rPr>
          <w:rFonts w:ascii="Symbol" w:hAnsi="Symbol"/>
        </w:rPr>
        <w:t></w:t>
      </w:r>
      <w:r>
        <w:t xml:space="preserve">3 ridge (220-233) includes CD loop and part of strand D. </w:t>
      </w:r>
    </w:p>
    <w:p w14:paraId="27D752A6" w14:textId="77777777" w:rsidR="00C73DB1" w:rsidRDefault="005000FE" w:rsidP="00C73DB1">
      <w:pPr>
        <w:ind w:left="90" w:right="900"/>
      </w:pPr>
      <w:r w:rsidRPr="005000FE">
        <w:rPr>
          <w:rFonts w:ascii="Symbol" w:hAnsi="Symbol"/>
        </w:rPr>
        <w:t></w:t>
      </w:r>
      <w:r>
        <w:t>2m (M0) is present in all complexes. The measured affinity or an estimate (</w:t>
      </w:r>
      <w:r w:rsidRPr="0002768D">
        <w:rPr>
          <w:color w:val="808080" w:themeColor="background1" w:themeShade="80"/>
        </w:rPr>
        <w:t>grey text</w:t>
      </w:r>
      <w:r>
        <w:t xml:space="preserve">) based on available literature is listed for each complex. </w:t>
      </w:r>
    </w:p>
    <w:p w14:paraId="4531A114" w14:textId="0A8A7F6D" w:rsidR="005000FE" w:rsidRDefault="005000FE" w:rsidP="00C73DB1">
      <w:pPr>
        <w:ind w:left="90" w:right="900"/>
      </w:pPr>
      <w:r>
        <w:t xml:space="preserve">PDB coordinates used in this table: 1IM3, 1BQH, 3DMM, 1QO3, 3C8K, 1P7Q.       </w:t>
      </w:r>
    </w:p>
    <w:p w14:paraId="3AA50682" w14:textId="1BFD5C8D" w:rsidR="001F6435" w:rsidRPr="00B12CB1" w:rsidRDefault="005000FE" w:rsidP="00C73DB1">
      <w:pPr>
        <w:ind w:left="90" w:right="900"/>
      </w:pPr>
      <w:r w:rsidRPr="005000FE">
        <w:rPr>
          <w:vertAlign w:val="superscript"/>
        </w:rPr>
        <w:t>a</w:t>
      </w:r>
      <w:r>
        <w:t>Please see SUPPLEMENTAL METHODS for references for these binding constants.</w:t>
      </w:r>
      <w:bookmarkStart w:id="0" w:name="_GoBack"/>
      <w:bookmarkEnd w:id="0"/>
    </w:p>
    <w:sectPr w:rsidR="001F6435" w:rsidRPr="00B12CB1" w:rsidSect="00EE2D44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E789" w14:textId="77777777" w:rsidR="00386B74" w:rsidRDefault="00386B74" w:rsidP="00BE7672">
      <w:r>
        <w:separator/>
      </w:r>
    </w:p>
  </w:endnote>
  <w:endnote w:type="continuationSeparator" w:id="0">
    <w:p w14:paraId="1AD22FAA" w14:textId="77777777" w:rsidR="00386B74" w:rsidRDefault="00386B74" w:rsidP="00BE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1F06E" w14:textId="77777777" w:rsidR="00386B74" w:rsidRDefault="00386B74" w:rsidP="00BE7672">
      <w:r>
        <w:separator/>
      </w:r>
    </w:p>
  </w:footnote>
  <w:footnote w:type="continuationSeparator" w:id="0">
    <w:p w14:paraId="5C5151B6" w14:textId="77777777" w:rsidR="00386B74" w:rsidRDefault="00386B74" w:rsidP="00BE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85F"/>
    <w:multiLevelType w:val="multilevel"/>
    <w:tmpl w:val="0D3CF936"/>
    <w:styleLink w:val="Style1"/>
    <w:lvl w:ilvl="0">
      <w:start w:val="1"/>
      <w:numFmt w:val="decimal"/>
      <w:suff w:val="space"/>
      <w:lvlText w:val="SI-%1"/>
      <w:lvlJc w:val="left"/>
      <w:pPr>
        <w:ind w:left="0" w:firstLine="0"/>
      </w:pPr>
      <w:rPr>
        <w:rFonts w:ascii="Helvetica" w:hAnsi="Helvetica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B8"/>
    <w:rsid w:val="0002768D"/>
    <w:rsid w:val="000411B7"/>
    <w:rsid w:val="000856CF"/>
    <w:rsid w:val="0009551F"/>
    <w:rsid w:val="00152B05"/>
    <w:rsid w:val="00154F6D"/>
    <w:rsid w:val="001F6435"/>
    <w:rsid w:val="00254270"/>
    <w:rsid w:val="00274E76"/>
    <w:rsid w:val="002B1AC4"/>
    <w:rsid w:val="002B6282"/>
    <w:rsid w:val="002C0A09"/>
    <w:rsid w:val="00332926"/>
    <w:rsid w:val="00340379"/>
    <w:rsid w:val="003827D1"/>
    <w:rsid w:val="00386B74"/>
    <w:rsid w:val="0039646A"/>
    <w:rsid w:val="003A7CEA"/>
    <w:rsid w:val="003B76FA"/>
    <w:rsid w:val="004227D4"/>
    <w:rsid w:val="00484E4C"/>
    <w:rsid w:val="004A2EF2"/>
    <w:rsid w:val="004B6CF8"/>
    <w:rsid w:val="004E7516"/>
    <w:rsid w:val="005000FE"/>
    <w:rsid w:val="00507AEA"/>
    <w:rsid w:val="00561595"/>
    <w:rsid w:val="005752AB"/>
    <w:rsid w:val="00575312"/>
    <w:rsid w:val="005962B2"/>
    <w:rsid w:val="00596741"/>
    <w:rsid w:val="005C4205"/>
    <w:rsid w:val="006022C6"/>
    <w:rsid w:val="006A3DA2"/>
    <w:rsid w:val="006A6788"/>
    <w:rsid w:val="006B2CB7"/>
    <w:rsid w:val="006D11F6"/>
    <w:rsid w:val="007474A3"/>
    <w:rsid w:val="00783BD2"/>
    <w:rsid w:val="0079108B"/>
    <w:rsid w:val="0082621E"/>
    <w:rsid w:val="008533A9"/>
    <w:rsid w:val="008721CE"/>
    <w:rsid w:val="00881853"/>
    <w:rsid w:val="0089061B"/>
    <w:rsid w:val="008A50AC"/>
    <w:rsid w:val="008E601A"/>
    <w:rsid w:val="00914495"/>
    <w:rsid w:val="0096199F"/>
    <w:rsid w:val="00A54542"/>
    <w:rsid w:val="00B12CB1"/>
    <w:rsid w:val="00B66F1B"/>
    <w:rsid w:val="00BA4F26"/>
    <w:rsid w:val="00BE7672"/>
    <w:rsid w:val="00C176D7"/>
    <w:rsid w:val="00C73DB1"/>
    <w:rsid w:val="00C73EC8"/>
    <w:rsid w:val="00CE42DA"/>
    <w:rsid w:val="00CE7063"/>
    <w:rsid w:val="00CF02A2"/>
    <w:rsid w:val="00CF114F"/>
    <w:rsid w:val="00D0082C"/>
    <w:rsid w:val="00D115AC"/>
    <w:rsid w:val="00D34BCC"/>
    <w:rsid w:val="00D36230"/>
    <w:rsid w:val="00D7323F"/>
    <w:rsid w:val="00DF509D"/>
    <w:rsid w:val="00DF74CD"/>
    <w:rsid w:val="00ED01C8"/>
    <w:rsid w:val="00ED186E"/>
    <w:rsid w:val="00EE2D44"/>
    <w:rsid w:val="00EF0F2B"/>
    <w:rsid w:val="00F04BC4"/>
    <w:rsid w:val="00F37D75"/>
    <w:rsid w:val="00F40089"/>
    <w:rsid w:val="00F42F54"/>
    <w:rsid w:val="00F55A59"/>
    <w:rsid w:val="00F55C10"/>
    <w:rsid w:val="00F7342C"/>
    <w:rsid w:val="00F77EFA"/>
    <w:rsid w:val="00F9235F"/>
    <w:rsid w:val="00FB01B8"/>
    <w:rsid w:val="00FD6B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81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40379"/>
    <w:pPr>
      <w:numPr>
        <w:numId w:val="1"/>
      </w:numPr>
    </w:pPr>
  </w:style>
  <w:style w:type="table" w:styleId="TableGrid">
    <w:name w:val="Table Grid"/>
    <w:basedOn w:val="TableNormal"/>
    <w:uiPriority w:val="59"/>
    <w:rsid w:val="00FB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672"/>
  </w:style>
  <w:style w:type="paragraph" w:styleId="Footer">
    <w:name w:val="footer"/>
    <w:basedOn w:val="Normal"/>
    <w:link w:val="FooterChar"/>
    <w:uiPriority w:val="99"/>
    <w:unhideWhenUsed/>
    <w:rsid w:val="00BE7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6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40379"/>
    <w:pPr>
      <w:numPr>
        <w:numId w:val="1"/>
      </w:numPr>
    </w:pPr>
  </w:style>
  <w:style w:type="table" w:styleId="TableGrid">
    <w:name w:val="Table Grid"/>
    <w:basedOn w:val="TableNormal"/>
    <w:uiPriority w:val="59"/>
    <w:rsid w:val="00FB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672"/>
  </w:style>
  <w:style w:type="paragraph" w:styleId="Footer">
    <w:name w:val="footer"/>
    <w:basedOn w:val="Normal"/>
    <w:link w:val="FooterChar"/>
    <w:uiPriority w:val="99"/>
    <w:unhideWhenUsed/>
    <w:rsid w:val="00BE7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E1208-400B-834A-8350-B7E066DA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Macintosh Word</Application>
  <DocSecurity>0</DocSecurity>
  <Lines>11</Lines>
  <Paragraphs>3</Paragraphs>
  <ScaleCrop>false</ScaleCrop>
  <Company>WUSM Pathology &amp; Immunology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McCoy</dc:creator>
  <cp:keywords/>
  <dc:description/>
  <cp:lastModifiedBy>William McCoy</cp:lastModifiedBy>
  <cp:revision>3</cp:revision>
  <cp:lastPrinted>2012-09-27T20:39:00Z</cp:lastPrinted>
  <dcterms:created xsi:type="dcterms:W3CDTF">2012-09-30T14:40:00Z</dcterms:created>
  <dcterms:modified xsi:type="dcterms:W3CDTF">2012-09-30T14:41:00Z</dcterms:modified>
</cp:coreProperties>
</file>