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188C" w14:textId="13837321" w:rsidR="00AF6D6E" w:rsidRPr="00FC41FB" w:rsidRDefault="00472DEC" w:rsidP="00AF6D6E">
      <w:pPr>
        <w:spacing w:line="276" w:lineRule="auto"/>
        <w:jc w:val="both"/>
        <w:rPr>
          <w:lang w:val="en-US"/>
        </w:rPr>
      </w:pPr>
      <w:bookmarkStart w:id="0" w:name="_GoBack"/>
      <w:r>
        <w:rPr>
          <w:b/>
          <w:bCs/>
          <w:lang w:val="en-US"/>
        </w:rPr>
        <w:t>S1 Text</w:t>
      </w:r>
      <w:r w:rsidR="003A61B9">
        <w:rPr>
          <w:b/>
          <w:bCs/>
          <w:lang w:val="en-US"/>
        </w:rPr>
        <w:t xml:space="preserve">. Details on anisotropy and </w:t>
      </w:r>
      <w:proofErr w:type="spellStart"/>
      <w:r w:rsidR="003A61B9">
        <w:rPr>
          <w:b/>
          <w:bCs/>
          <w:lang w:val="en-US"/>
        </w:rPr>
        <w:t>Kd</w:t>
      </w:r>
      <w:proofErr w:type="spellEnd"/>
      <w:r w:rsidR="003A61B9">
        <w:rPr>
          <w:b/>
          <w:bCs/>
          <w:lang w:val="en-US"/>
        </w:rPr>
        <w:t xml:space="preserve"> calculations for the </w:t>
      </w:r>
      <w:r w:rsidR="00652C15">
        <w:rPr>
          <w:b/>
          <w:bCs/>
          <w:lang w:val="en-US"/>
        </w:rPr>
        <w:t>DNA-binding assays</w:t>
      </w:r>
      <w:r w:rsidR="00AF6D6E" w:rsidRPr="004B060D">
        <w:rPr>
          <w:b/>
          <w:bCs/>
          <w:lang w:val="en-US"/>
        </w:rPr>
        <w:t xml:space="preserve"> by steady-state fluorescence anisotropy</w:t>
      </w:r>
      <w:r w:rsidR="003A61B9">
        <w:rPr>
          <w:b/>
          <w:bCs/>
          <w:lang w:val="en-US"/>
        </w:rPr>
        <w:t>.</w:t>
      </w:r>
      <w:r w:rsidR="00AF6D6E">
        <w:rPr>
          <w:b/>
          <w:bCs/>
          <w:lang w:val="en-US"/>
        </w:rPr>
        <w:t xml:space="preserve"> </w:t>
      </w:r>
      <w:bookmarkEnd w:id="0"/>
      <w:r w:rsidR="00AF6D6E" w:rsidRPr="004B060D">
        <w:rPr>
          <w:lang w:val="en-US"/>
        </w:rPr>
        <w:t>Using a vertical direction for the polarized excitation source, the steady-state fluorescence anisotropy (</w:t>
      </w:r>
      <w:r w:rsidR="00AF6D6E" w:rsidRPr="004B060D">
        <w:rPr>
          <w:i/>
          <w:lang w:val="en-US"/>
        </w:rPr>
        <w:t>r</w:t>
      </w:r>
      <w:r w:rsidR="00AF6D6E" w:rsidRPr="004B060D">
        <w:rPr>
          <w:lang w:val="en-US"/>
        </w:rPr>
        <w:t>) was calculated according to the equation:</w:t>
      </w:r>
    </w:p>
    <w:p w14:paraId="45209384" w14:textId="77777777" w:rsidR="00AF6D6E" w:rsidRPr="004B060D" w:rsidRDefault="00AF6D6E" w:rsidP="00AF6D6E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+2×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sub>
              </m:sSub>
            </m:den>
          </m:f>
        </m:oMath>
      </m:oMathPara>
    </w:p>
    <w:p w14:paraId="0DC814EF" w14:textId="77777777" w:rsidR="00AF6D6E" w:rsidRPr="004B060D" w:rsidRDefault="00AF6D6E" w:rsidP="00AF6D6E">
      <w:pPr>
        <w:spacing w:line="276" w:lineRule="auto"/>
        <w:jc w:val="both"/>
        <w:rPr>
          <w:lang w:val="en-US"/>
        </w:rPr>
      </w:pPr>
      <w:r w:rsidRPr="004B060D">
        <w:rPr>
          <w:lang w:val="en-US"/>
        </w:rPr>
        <w:t>where I</w:t>
      </w:r>
      <w:r w:rsidRPr="004B060D">
        <w:rPr>
          <w:position w:val="-2"/>
          <w:vertAlign w:val="subscript"/>
          <w:lang w:val="en-US"/>
        </w:rPr>
        <w:t>V</w:t>
      </w:r>
      <w:r w:rsidRPr="004B060D">
        <w:rPr>
          <w:position w:val="-2"/>
          <w:lang w:val="en-US"/>
        </w:rPr>
        <w:t xml:space="preserve"> </w:t>
      </w:r>
      <w:r w:rsidRPr="004B060D">
        <w:rPr>
          <w:lang w:val="en-US"/>
        </w:rPr>
        <w:t>and I</w:t>
      </w:r>
      <w:r w:rsidRPr="004B060D">
        <w:rPr>
          <w:position w:val="-2"/>
          <w:vertAlign w:val="subscript"/>
          <w:lang w:val="en-US"/>
        </w:rPr>
        <w:t>H</w:t>
      </w:r>
      <w:r w:rsidRPr="004B060D">
        <w:rPr>
          <w:position w:val="-2"/>
          <w:lang w:val="en-US"/>
        </w:rPr>
        <w:t xml:space="preserve"> </w:t>
      </w:r>
      <w:r w:rsidRPr="004B060D">
        <w:rPr>
          <w:lang w:val="en-US"/>
        </w:rPr>
        <w:t>correspond to the parallel (vertical) and perpendicular (horizontal) fluorescence emission intensity components, respectively.</w:t>
      </w:r>
    </w:p>
    <w:p w14:paraId="4FD7D077" w14:textId="77777777" w:rsidR="00AF6D6E" w:rsidRPr="004B060D" w:rsidRDefault="00AF6D6E" w:rsidP="00AF6D6E">
      <w:pPr>
        <w:spacing w:line="276" w:lineRule="auto"/>
        <w:jc w:val="both"/>
        <w:rPr>
          <w:lang w:val="en-US"/>
        </w:rPr>
      </w:pPr>
      <w:r w:rsidRPr="004B060D">
        <w:rPr>
          <w:lang w:val="en-US"/>
        </w:rPr>
        <w:t>The fraction of DNA/</w:t>
      </w:r>
      <w:proofErr w:type="spellStart"/>
      <w:r w:rsidRPr="004B060D">
        <w:rPr>
          <w:lang w:val="en-US"/>
        </w:rPr>
        <w:t>PolD</w:t>
      </w:r>
      <w:proofErr w:type="spellEnd"/>
      <w:r w:rsidRPr="004B060D">
        <w:rPr>
          <w:lang w:val="en-US"/>
        </w:rPr>
        <w:t xml:space="preserve"> complexes (i.e. the fraction of DNA bound to </w:t>
      </w:r>
      <w:proofErr w:type="spellStart"/>
      <w:r w:rsidRPr="004B060D">
        <w:rPr>
          <w:lang w:val="en-US"/>
        </w:rPr>
        <w:t>PolD</w:t>
      </w:r>
      <w:proofErr w:type="spellEnd"/>
      <w:r w:rsidRPr="004B060D">
        <w:rPr>
          <w:lang w:val="en-US"/>
        </w:rPr>
        <w:t>), fb, was calculated using the following relationship:</w:t>
      </w:r>
    </w:p>
    <w:p w14:paraId="2565558D" w14:textId="77777777" w:rsidR="00AF6D6E" w:rsidRPr="004B060D" w:rsidRDefault="00AF6D6E" w:rsidP="00AF6D6E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fb=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r-rf</m:t>
              </m:r>
            </m:num>
            <m:den>
              <m:r>
                <w:rPr>
                  <w:rFonts w:ascii="Cambria Math" w:hAnsi="Cambria Math"/>
                  <w:lang w:val="en-US"/>
                </w:rPr>
                <m:t>r-rf+(rb-r)×(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Ib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If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</m:oMath>
      </m:oMathPara>
    </w:p>
    <w:p w14:paraId="3B8FC06A" w14:textId="79F76120" w:rsidR="00AF6D6E" w:rsidRDefault="00AF6D6E" w:rsidP="00AF6D6E">
      <w:pPr>
        <w:spacing w:line="276" w:lineRule="auto"/>
        <w:jc w:val="both"/>
        <w:rPr>
          <w:b/>
          <w:color w:val="000000" w:themeColor="text1"/>
          <w:lang w:val="en-GB"/>
        </w:rPr>
      </w:pPr>
      <w:r w:rsidRPr="004B060D">
        <w:rPr>
          <w:lang w:val="en-US"/>
        </w:rPr>
        <w:t xml:space="preserve">where r is the measured fluorescence anisotropy value, </w:t>
      </w:r>
      <w:proofErr w:type="spellStart"/>
      <w:r w:rsidRPr="004B060D">
        <w:rPr>
          <w:lang w:val="en-US"/>
        </w:rPr>
        <w:t>rf</w:t>
      </w:r>
      <w:proofErr w:type="spellEnd"/>
      <w:r w:rsidRPr="004B060D">
        <w:rPr>
          <w:lang w:val="en-US"/>
        </w:rPr>
        <w:t xml:space="preserve"> and </w:t>
      </w:r>
      <w:proofErr w:type="spellStart"/>
      <w:r w:rsidRPr="004B060D">
        <w:rPr>
          <w:lang w:val="en-US"/>
        </w:rPr>
        <w:t>rb</w:t>
      </w:r>
      <w:proofErr w:type="spellEnd"/>
      <w:r w:rsidRPr="004B060D">
        <w:rPr>
          <w:lang w:val="en-US"/>
        </w:rPr>
        <w:t xml:space="preserve"> correspond to the fluorescence anisotropy values of free DNA (ligand in the free state, measured in the absence of </w:t>
      </w:r>
      <w:proofErr w:type="spellStart"/>
      <w:r w:rsidRPr="004B060D">
        <w:rPr>
          <w:lang w:val="en-US"/>
        </w:rPr>
        <w:t>PolD</w:t>
      </w:r>
      <w:proofErr w:type="spellEnd"/>
      <w:r w:rsidRPr="004B060D">
        <w:rPr>
          <w:lang w:val="en-US"/>
        </w:rPr>
        <w:t xml:space="preserve">) and </w:t>
      </w:r>
      <w:proofErr w:type="spellStart"/>
      <w:r w:rsidRPr="004B060D">
        <w:rPr>
          <w:lang w:val="en-US"/>
        </w:rPr>
        <w:t>PolD</w:t>
      </w:r>
      <w:proofErr w:type="spellEnd"/>
      <w:r w:rsidRPr="004B060D">
        <w:rPr>
          <w:lang w:val="en-US"/>
        </w:rPr>
        <w:t>-bound DNA (ligand in the bound state, corresponding to the maximum anisotropy value found at the plateau), respectively. This relationship takes into account the change in the fluorescence intensity of</w:t>
      </w:r>
      <w:r w:rsidR="00FC41FB">
        <w:rPr>
          <w:lang w:val="en-US"/>
        </w:rPr>
        <w:t xml:space="preserve"> </w:t>
      </w:r>
      <w:r w:rsidR="00FC41FB" w:rsidRPr="004B060D">
        <w:rPr>
          <w:lang w:val="en-US"/>
        </w:rPr>
        <w:t>3’-hexachorofluorescein (HEX)-labeled DNA</w:t>
      </w:r>
      <w:r w:rsidR="00FC41FB">
        <w:rPr>
          <w:lang w:val="en-US"/>
        </w:rPr>
        <w:t xml:space="preserve"> </w:t>
      </w:r>
      <w:r w:rsidRPr="004B060D">
        <w:rPr>
          <w:lang w:val="en-US"/>
        </w:rPr>
        <w:t>observed along the titration (typically, the fluorescence intensity of HEX-</w:t>
      </w:r>
      <w:r w:rsidR="00FC41FB">
        <w:rPr>
          <w:lang w:val="en-US"/>
        </w:rPr>
        <w:t xml:space="preserve">labeled </w:t>
      </w:r>
      <w:r w:rsidRPr="004B060D">
        <w:rPr>
          <w:lang w:val="en-US"/>
        </w:rPr>
        <w:t xml:space="preserve">DNA in the bound state, </w:t>
      </w:r>
      <w:proofErr w:type="spellStart"/>
      <w:r w:rsidRPr="004B060D">
        <w:rPr>
          <w:lang w:val="en-US"/>
        </w:rPr>
        <w:t>Ib</w:t>
      </w:r>
      <w:proofErr w:type="spellEnd"/>
      <w:r w:rsidRPr="004B060D">
        <w:rPr>
          <w:lang w:val="en-US"/>
        </w:rPr>
        <w:t xml:space="preserve">, was found to be 50% lower than the one characterizing the ligand in the free state, If). The </w:t>
      </w:r>
      <w:proofErr w:type="spellStart"/>
      <w:r w:rsidRPr="004B060D">
        <w:rPr>
          <w:lang w:val="en-US"/>
        </w:rPr>
        <w:t>Kd</w:t>
      </w:r>
      <w:proofErr w:type="spellEnd"/>
      <w:r w:rsidRPr="004B060D">
        <w:rPr>
          <w:lang w:val="en-US"/>
        </w:rPr>
        <w:t xml:space="preserve"> characterizing the DNA/</w:t>
      </w:r>
      <w:proofErr w:type="spellStart"/>
      <w:r w:rsidRPr="004B060D">
        <w:rPr>
          <w:lang w:val="en-US"/>
        </w:rPr>
        <w:t>PolD</w:t>
      </w:r>
      <w:proofErr w:type="spellEnd"/>
      <w:r w:rsidRPr="004B060D">
        <w:rPr>
          <w:lang w:val="en-US"/>
        </w:rPr>
        <w:t xml:space="preserve"> complex (</w:t>
      </w:r>
      <w:proofErr w:type="spellStart"/>
      <w:r w:rsidRPr="004B060D">
        <w:rPr>
          <w:lang w:val="en-US"/>
        </w:rPr>
        <w:t>Kd</w:t>
      </w:r>
      <w:proofErr w:type="spellEnd"/>
      <w:r w:rsidRPr="004B060D">
        <w:rPr>
          <w:lang w:val="en-US"/>
        </w:rPr>
        <w:t>) was calculated by fitting the plot of fb versus [</w:t>
      </w:r>
      <w:proofErr w:type="spellStart"/>
      <w:r w:rsidRPr="004B060D">
        <w:rPr>
          <w:lang w:val="en-US"/>
        </w:rPr>
        <w:t>PolD</w:t>
      </w:r>
      <w:proofErr w:type="spellEnd"/>
      <w:r w:rsidRPr="004B060D">
        <w:rPr>
          <w:lang w:val="en-US"/>
        </w:rPr>
        <w:t xml:space="preserve">] with a Hill model using the </w:t>
      </w:r>
      <w:proofErr w:type="spellStart"/>
      <w:r w:rsidRPr="004B060D">
        <w:rPr>
          <w:lang w:val="en-US"/>
        </w:rPr>
        <w:t>IgorPro</w:t>
      </w:r>
      <w:proofErr w:type="spellEnd"/>
      <w:r w:rsidRPr="004B060D">
        <w:rPr>
          <w:lang w:val="en-US"/>
        </w:rPr>
        <w:t xml:space="preserve"> Software (</w:t>
      </w:r>
      <w:proofErr w:type="spellStart"/>
      <w:r w:rsidRPr="004B060D">
        <w:rPr>
          <w:lang w:val="en-US"/>
        </w:rPr>
        <w:t>Wavemetrics</w:t>
      </w:r>
      <w:proofErr w:type="spellEnd"/>
      <w:r w:rsidRPr="004B060D">
        <w:rPr>
          <w:lang w:val="en-US"/>
        </w:rPr>
        <w:t>).</w:t>
      </w:r>
    </w:p>
    <w:p w14:paraId="44196D18" w14:textId="77777777" w:rsidR="00AF6D6E" w:rsidRPr="00C51F45" w:rsidRDefault="00AF6D6E">
      <w:pPr>
        <w:rPr>
          <w:lang w:val="en-GB"/>
        </w:rPr>
      </w:pPr>
    </w:p>
    <w:p w14:paraId="529B5B97" w14:textId="523468DF" w:rsidR="00AF6D6E" w:rsidRPr="00AF6D6E" w:rsidRDefault="00AF6D6E" w:rsidP="005675D5">
      <w:pPr>
        <w:jc w:val="both"/>
        <w:rPr>
          <w:lang w:val="en-GB"/>
        </w:rPr>
      </w:pPr>
    </w:p>
    <w:sectPr w:rsidR="00AF6D6E" w:rsidRPr="00AF6D6E" w:rsidSect="00710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E"/>
    <w:rsid w:val="000019D6"/>
    <w:rsid w:val="000140A8"/>
    <w:rsid w:val="00082AAB"/>
    <w:rsid w:val="00176F9B"/>
    <w:rsid w:val="00191BC6"/>
    <w:rsid w:val="001D440B"/>
    <w:rsid w:val="002C0FF8"/>
    <w:rsid w:val="002D55CE"/>
    <w:rsid w:val="002E52FA"/>
    <w:rsid w:val="00334CED"/>
    <w:rsid w:val="00346C9D"/>
    <w:rsid w:val="003531F7"/>
    <w:rsid w:val="00373CB0"/>
    <w:rsid w:val="003A61B9"/>
    <w:rsid w:val="003B01AD"/>
    <w:rsid w:val="003C408C"/>
    <w:rsid w:val="003E0391"/>
    <w:rsid w:val="00472DEC"/>
    <w:rsid w:val="00485E21"/>
    <w:rsid w:val="00497C29"/>
    <w:rsid w:val="00501601"/>
    <w:rsid w:val="00521911"/>
    <w:rsid w:val="005359F7"/>
    <w:rsid w:val="00562CA5"/>
    <w:rsid w:val="005675D5"/>
    <w:rsid w:val="00576C33"/>
    <w:rsid w:val="005B7CDB"/>
    <w:rsid w:val="005D1326"/>
    <w:rsid w:val="00650E97"/>
    <w:rsid w:val="00652C15"/>
    <w:rsid w:val="00687481"/>
    <w:rsid w:val="00692FB9"/>
    <w:rsid w:val="006B3F76"/>
    <w:rsid w:val="006D217B"/>
    <w:rsid w:val="00710A9F"/>
    <w:rsid w:val="00716CF7"/>
    <w:rsid w:val="00752DEA"/>
    <w:rsid w:val="007803A0"/>
    <w:rsid w:val="007C51D0"/>
    <w:rsid w:val="007F107C"/>
    <w:rsid w:val="00800EAF"/>
    <w:rsid w:val="008025BA"/>
    <w:rsid w:val="008025FA"/>
    <w:rsid w:val="00813E27"/>
    <w:rsid w:val="00815C48"/>
    <w:rsid w:val="00816DC6"/>
    <w:rsid w:val="008B476E"/>
    <w:rsid w:val="00912A8D"/>
    <w:rsid w:val="00920A2F"/>
    <w:rsid w:val="0092309F"/>
    <w:rsid w:val="009361A8"/>
    <w:rsid w:val="00971D93"/>
    <w:rsid w:val="009B794A"/>
    <w:rsid w:val="009E4F67"/>
    <w:rsid w:val="009F4749"/>
    <w:rsid w:val="00A644A8"/>
    <w:rsid w:val="00A72461"/>
    <w:rsid w:val="00A8480B"/>
    <w:rsid w:val="00A86110"/>
    <w:rsid w:val="00AE6110"/>
    <w:rsid w:val="00AF6D6E"/>
    <w:rsid w:val="00B603B0"/>
    <w:rsid w:val="00BC0E0D"/>
    <w:rsid w:val="00C51F45"/>
    <w:rsid w:val="00C57ADD"/>
    <w:rsid w:val="00D14B1D"/>
    <w:rsid w:val="00D3413D"/>
    <w:rsid w:val="00DC3549"/>
    <w:rsid w:val="00E2740D"/>
    <w:rsid w:val="00E32859"/>
    <w:rsid w:val="00E55DBA"/>
    <w:rsid w:val="00E62D0F"/>
    <w:rsid w:val="00E71A9B"/>
    <w:rsid w:val="00E83693"/>
    <w:rsid w:val="00EB04B7"/>
    <w:rsid w:val="00EE364F"/>
    <w:rsid w:val="00F0595D"/>
    <w:rsid w:val="00F978B0"/>
    <w:rsid w:val="00FB4B1B"/>
    <w:rsid w:val="00FC41FB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47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D6E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6D6E"/>
    <w:pPr>
      <w:spacing w:before="100" w:beforeAutospacing="1" w:after="100" w:afterAutospacing="1"/>
    </w:pPr>
  </w:style>
  <w:style w:type="paragraph" w:customStyle="1" w:styleId="Bibliographie1">
    <w:name w:val="Bibliographie1"/>
    <w:basedOn w:val="Normal"/>
    <w:rsid w:val="00AF6D6E"/>
    <w:pPr>
      <w:tabs>
        <w:tab w:val="left" w:pos="260"/>
      </w:tabs>
      <w:spacing w:line="480" w:lineRule="auto"/>
      <w:ind w:left="264" w:hanging="264"/>
    </w:pPr>
    <w:rPr>
      <w:lang w:val="en-GB"/>
    </w:rPr>
  </w:style>
  <w:style w:type="paragraph" w:styleId="Pardeliste">
    <w:name w:val="List Paragraph"/>
    <w:basedOn w:val="Normal"/>
    <w:uiPriority w:val="34"/>
    <w:qFormat/>
    <w:rsid w:val="009F47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08C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2018-09-12T20:50:00Z</cp:lastPrinted>
  <dcterms:created xsi:type="dcterms:W3CDTF">2018-11-14T14:50:00Z</dcterms:created>
  <dcterms:modified xsi:type="dcterms:W3CDTF">2018-12-19T21:28:00Z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id="UISN7MhI"/&gt;&lt;style id="http://www.zotero.org/styles/nature"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value=""/&gt;&lt;/prefs&gt;&lt;/data&gt;</vt:lpwstr>
  </property>
</Properties>
</file>