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C3" w:rsidRPr="002014BA" w:rsidRDefault="009A10C3" w:rsidP="009A10C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2014BA">
        <w:rPr>
          <w:rFonts w:ascii="Times New Roman" w:hAnsi="Times New Roman" w:cs="Times New Roman"/>
          <w:b/>
          <w:color w:val="000000" w:themeColor="text1"/>
          <w:lang w:val="en-GB"/>
        </w:rPr>
        <w:t>S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>4</w:t>
      </w:r>
      <w:r w:rsidRPr="002014BA">
        <w:rPr>
          <w:rFonts w:ascii="Times New Roman" w:hAnsi="Times New Roman" w:cs="Times New Roman"/>
          <w:b/>
          <w:color w:val="000000" w:themeColor="text1"/>
          <w:lang w:val="en-GB"/>
        </w:rPr>
        <w:t xml:space="preserve"> Table. Comparison between evolved and ancestral pathogen phenotypes</w:t>
      </w:r>
      <w:r w:rsidRPr="002014BA">
        <w:rPr>
          <w:rFonts w:ascii="Times New Roman" w:hAnsi="Times New Roman" w:cs="Times New Roman"/>
          <w:b/>
          <w:color w:val="000000" w:themeColor="text1"/>
          <w:vertAlign w:val="superscript"/>
          <w:lang w:val="en-GB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668"/>
        <w:gridCol w:w="1592"/>
        <w:gridCol w:w="1243"/>
        <w:gridCol w:w="709"/>
        <w:gridCol w:w="1326"/>
      </w:tblGrid>
      <w:tr w:rsidR="009A10C3" w:rsidRPr="002014BA" w:rsidTr="00EB797A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ind w:right="-249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Trait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Treatment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Transfer</w:t>
            </w:r>
            <w:r w:rsidRPr="002014BA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GB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proofErr w:type="spellStart"/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df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  <w:t>P</w:t>
            </w:r>
          </w:p>
        </w:tc>
      </w:tr>
      <w:tr w:rsidR="009A10C3" w:rsidRPr="002014BA" w:rsidTr="00EB797A">
        <w:tc>
          <w:tcPr>
            <w:tcW w:w="1809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Killing ability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Coevolution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1,16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0.4858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0.79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1,16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0.3869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8.53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1,16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0.0100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Adaptation</w:t>
            </w: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4.41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1,16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0.0517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0.46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1,11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0.5086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2.10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1,11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0.1748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Control</w:t>
            </w: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215.88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1,15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&lt;0.0001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1715.68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1,15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&lt;0.0001</w:t>
            </w:r>
          </w:p>
        </w:tc>
      </w:tr>
      <w:tr w:rsidR="009A10C3" w:rsidRPr="002014BA" w:rsidTr="00EB797A">
        <w:tc>
          <w:tcPr>
            <w:tcW w:w="1809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1542.75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&lt;0.0001</w:t>
            </w:r>
          </w:p>
        </w:tc>
      </w:tr>
      <w:tr w:rsidR="009A10C3" w:rsidRPr="002014BA" w:rsidTr="00EB797A">
        <w:tc>
          <w:tcPr>
            <w:tcW w:w="1809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Pathogen 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Coevolution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0.3200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impact</w:t>
            </w: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1.26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0.2700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on</w:t>
            </w:r>
            <w:proofErr w:type="gramEnd"/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host pop.</w:t>
            </w: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2.94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0.1081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growth</w:t>
            </w: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Adaptation</w:t>
            </w: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3.20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0.0949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1.64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1,10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0.2287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0.79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1,8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0.3975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Control</w:t>
            </w: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21.89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0.0004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95.13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1,10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&lt;0.0001</w:t>
            </w:r>
          </w:p>
        </w:tc>
      </w:tr>
      <w:tr w:rsidR="009A10C3" w:rsidRPr="002014BA" w:rsidTr="00EB797A">
        <w:tc>
          <w:tcPr>
            <w:tcW w:w="1809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18.70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0.0007</w:t>
            </w:r>
          </w:p>
        </w:tc>
      </w:tr>
      <w:tr w:rsidR="009A10C3" w:rsidRPr="002014BA" w:rsidTr="00EB797A">
        <w:tc>
          <w:tcPr>
            <w:tcW w:w="1809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Pathogen 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Coevolution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4.89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0.0440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impact</w:t>
            </w: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4.19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1,13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0.0612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on host body</w:t>
            </w: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11.84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1,15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0.0036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size</w:t>
            </w: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Adaptation</w:t>
            </w: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0.00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0.9623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0.27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1,10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0.6138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0.08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1,10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0.7792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Control</w:t>
            </w: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46.68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1,15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&lt;0.0001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111.18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1,11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&lt;0.0001</w:t>
            </w:r>
          </w:p>
        </w:tc>
      </w:tr>
      <w:tr w:rsidR="009A10C3" w:rsidRPr="002014BA" w:rsidTr="00EB797A">
        <w:tc>
          <w:tcPr>
            <w:tcW w:w="1809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103.81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1,13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&lt;0.0001</w:t>
            </w:r>
          </w:p>
        </w:tc>
      </w:tr>
      <w:tr w:rsidR="009A10C3" w:rsidRPr="002014BA" w:rsidTr="00EB797A">
        <w:tc>
          <w:tcPr>
            <w:tcW w:w="1809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Pathogen  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Coevolution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2.79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0.1168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infection load</w:t>
            </w:r>
            <w:r w:rsidRPr="002014B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3</w:t>
            </w: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1.83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0.1967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3.95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1,15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0.0653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Adaptation</w:t>
            </w: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4.10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1,13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0.0638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3.40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1,8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0.1023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5.18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1,8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0.0523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Control</w:t>
            </w: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3.42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1,15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0.0842</w:t>
            </w:r>
          </w:p>
        </w:tc>
      </w:tr>
      <w:tr w:rsidR="009A10C3" w:rsidRPr="002014BA" w:rsidTr="00EB797A">
        <w:tc>
          <w:tcPr>
            <w:tcW w:w="18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2.26</w:t>
            </w:r>
          </w:p>
        </w:tc>
        <w:tc>
          <w:tcPr>
            <w:tcW w:w="709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1,11</w:t>
            </w:r>
          </w:p>
        </w:tc>
        <w:tc>
          <w:tcPr>
            <w:tcW w:w="1326" w:type="dxa"/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0.1607</w:t>
            </w:r>
          </w:p>
        </w:tc>
      </w:tr>
      <w:tr w:rsidR="009A10C3" w:rsidRPr="002014BA" w:rsidTr="00EB797A">
        <w:tc>
          <w:tcPr>
            <w:tcW w:w="1809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3.2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1,13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9A10C3" w:rsidRPr="002014BA" w:rsidRDefault="009A10C3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0.0966</w:t>
            </w:r>
          </w:p>
        </w:tc>
      </w:tr>
    </w:tbl>
    <w:p w:rsidR="009A10C3" w:rsidRPr="002014BA" w:rsidRDefault="009A10C3" w:rsidP="009A10C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2014BA">
        <w:rPr>
          <w:rFonts w:ascii="Times New Roman" w:hAnsi="Times New Roman" w:cs="Times New Roman"/>
          <w:color w:val="000000" w:themeColor="text1"/>
          <w:sz w:val="22"/>
          <w:vertAlign w:val="superscript"/>
          <w:lang w:val="en-GB"/>
        </w:rPr>
        <w:t>1</w:t>
      </w:r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Comparison between evolved (pathogen coevolution, pathogen one-sided adaptation and pathogen control) and ancestral pathogens both exposed to ancestral hosts using an analysis of variance. Degrees of freedom (</w:t>
      </w:r>
      <w:proofErr w:type="spellStart"/>
      <w:proofErr w:type="gramStart"/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>df</w:t>
      </w:r>
      <w:proofErr w:type="spellEnd"/>
      <w:proofErr w:type="gramEnd"/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>) are given for the comparison and the error (before and after comma, respectively). Significant values after FDR adjustment are in bold.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The data is shown in S1 Data.</w:t>
      </w:r>
    </w:p>
    <w:p w:rsidR="009A10C3" w:rsidRPr="002014BA" w:rsidRDefault="009A10C3" w:rsidP="009A10C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2014BA">
        <w:rPr>
          <w:rFonts w:ascii="Times New Roman" w:hAnsi="Times New Roman" w:cs="Times New Roman"/>
          <w:color w:val="000000" w:themeColor="text1"/>
          <w:sz w:val="22"/>
          <w:vertAlign w:val="superscript"/>
          <w:lang w:val="en-GB"/>
        </w:rPr>
        <w:t>2</w:t>
      </w:r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Time point is given as host transfer number.</w:t>
      </w:r>
    </w:p>
    <w:p w:rsidR="002D0640" w:rsidRDefault="009A10C3" w:rsidP="009A10C3">
      <w:r w:rsidRPr="002014BA">
        <w:rPr>
          <w:rFonts w:ascii="Times New Roman" w:hAnsi="Times New Roman" w:cs="Times New Roman"/>
          <w:color w:val="000000" w:themeColor="text1"/>
          <w:sz w:val="22"/>
          <w:vertAlign w:val="superscript"/>
          <w:lang w:val="en-GB"/>
        </w:rPr>
        <w:t>3</w:t>
      </w:r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Infection load is adjusted by body size.</w:t>
      </w:r>
      <w:bookmarkStart w:id="0" w:name="_GoBack"/>
      <w:bookmarkEnd w:id="0"/>
    </w:p>
    <w:sectPr w:rsidR="002D0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C3"/>
    <w:rsid w:val="002D0640"/>
    <w:rsid w:val="009A10C3"/>
    <w:rsid w:val="00A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91296-607D-44A8-9F48-561681DC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10C3"/>
    <w:pPr>
      <w:tabs>
        <w:tab w:val="left" w:pos="708"/>
      </w:tabs>
      <w:suppressAutoHyphens/>
      <w:spacing w:after="0" w:line="240" w:lineRule="auto"/>
    </w:pPr>
    <w:rPr>
      <w:rFonts w:ascii="Cambria" w:eastAsia="WenQuanYi Micro Hei" w:hAnsi="Cambr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hschulen</dc:creator>
  <cp:keywords/>
  <dc:description/>
  <cp:lastModifiedBy>hschulen</cp:lastModifiedBy>
  <cp:revision>1</cp:revision>
  <dcterms:created xsi:type="dcterms:W3CDTF">2015-04-19T14:58:00Z</dcterms:created>
  <dcterms:modified xsi:type="dcterms:W3CDTF">2015-04-19T14:58:00Z</dcterms:modified>
</cp:coreProperties>
</file>