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81" w:rsidRPr="002E0A8F" w:rsidRDefault="00B45FC3" w:rsidP="00943C81">
      <w:pPr>
        <w:rPr>
          <w:rFonts w:ascii="Times New Roman" w:hAnsi="Times New Roman" w:cs="Times New Roman"/>
          <w:sz w:val="20"/>
          <w:szCs w:val="20"/>
        </w:rPr>
      </w:pPr>
      <w:bookmarkStart w:id="0" w:name="_Toc343020456"/>
      <w:bookmarkStart w:id="1" w:name="_Toc343082479"/>
      <w:r>
        <w:rPr>
          <w:rStyle w:val="Heading1Char"/>
        </w:rPr>
        <w:t>T</w:t>
      </w:r>
      <w:r w:rsidR="00943C81" w:rsidRPr="00EE385E">
        <w:rPr>
          <w:rStyle w:val="Heading1Char"/>
        </w:rPr>
        <w:t>able S5. Climate change by Exclusive Economic Zone and vulnerability of coastal people given their dependency of the ocean and wealth.</w:t>
      </w:r>
      <w:bookmarkEnd w:id="0"/>
      <w:bookmarkEnd w:id="1"/>
      <w:r w:rsidR="00943C81" w:rsidRPr="002E0A8F">
        <w:rPr>
          <w:rFonts w:ascii="Times New Roman" w:hAnsi="Times New Roman" w:cs="Times New Roman"/>
          <w:sz w:val="20"/>
          <w:szCs w:val="20"/>
        </w:rPr>
        <w:t xml:space="preserve"> </w:t>
      </w:r>
      <w:r w:rsidR="00943C81">
        <w:rPr>
          <w:rFonts w:ascii="Times New Roman" w:hAnsi="Times New Roman" w:cs="Times New Roman"/>
          <w:sz w:val="20"/>
          <w:szCs w:val="20"/>
        </w:rPr>
        <w:t>For each Exclusive Economic Zone, we calculate the cumulative and individual stress of all four parameters analyzed here (we focused only on parameters at the ocean surface)</w:t>
      </w:r>
      <w:r w:rsidR="00943C81" w:rsidRPr="002E0A8F">
        <w:rPr>
          <w:rFonts w:ascii="Times New Roman" w:hAnsi="Times New Roman" w:cs="Times New Roman"/>
          <w:sz w:val="20"/>
          <w:szCs w:val="20"/>
        </w:rPr>
        <w:t xml:space="preserve">. The number of coastal people was calculated as the number of people within 50km from the coast of each country; data on population was obtained from the Gridded human population database (&lt;http://sedac.ciesin.columbia.edu/data/set/gpw-v3-population-count/data-download&gt;). We quantify three different metric of peoples’ dependency on the ocean: jobs, revenues and food. Job dependency was measured as the fraction of the national work force employed by marine fishing, the marine tourism industry, mariculture and marine mammal watching; revenue dependency as the fraction of national Gross Domestic Product generated by revenues from marine tourism, fishing, mariculture and marine mammal watching; and, food dependency as the fraction of animal protein consumption supplied by seafood; all three dependencies were added and divided in three equal bins to indicate countries of </w:t>
      </w:r>
      <w:r w:rsidR="00943C81">
        <w:rPr>
          <w:rFonts w:ascii="Times New Roman" w:hAnsi="Times New Roman" w:cs="Times New Roman"/>
          <w:sz w:val="20"/>
          <w:szCs w:val="20"/>
        </w:rPr>
        <w:t>Low (L)</w:t>
      </w:r>
      <w:r w:rsidR="00943C81" w:rsidRPr="002E0A8F">
        <w:rPr>
          <w:rFonts w:ascii="Times New Roman" w:hAnsi="Times New Roman" w:cs="Times New Roman"/>
          <w:sz w:val="20"/>
          <w:szCs w:val="20"/>
        </w:rPr>
        <w:t xml:space="preserve">, </w:t>
      </w:r>
      <w:r w:rsidR="00943C81">
        <w:rPr>
          <w:rFonts w:ascii="Times New Roman" w:hAnsi="Times New Roman" w:cs="Times New Roman"/>
          <w:sz w:val="20"/>
          <w:szCs w:val="20"/>
        </w:rPr>
        <w:t>Medium (M)</w:t>
      </w:r>
      <w:r w:rsidR="00943C81" w:rsidRPr="002E0A8F">
        <w:rPr>
          <w:rFonts w:ascii="Times New Roman" w:hAnsi="Times New Roman" w:cs="Times New Roman"/>
          <w:sz w:val="20"/>
          <w:szCs w:val="20"/>
        </w:rPr>
        <w:t xml:space="preserve"> and </w:t>
      </w:r>
      <w:r w:rsidR="00943C81">
        <w:rPr>
          <w:rFonts w:ascii="Times New Roman" w:hAnsi="Times New Roman" w:cs="Times New Roman"/>
          <w:sz w:val="20"/>
          <w:szCs w:val="20"/>
        </w:rPr>
        <w:t>High (H)</w:t>
      </w:r>
      <w:r w:rsidR="00943C81" w:rsidRPr="002E0A8F">
        <w:rPr>
          <w:rFonts w:ascii="Times New Roman" w:hAnsi="Times New Roman" w:cs="Times New Roman"/>
          <w:sz w:val="20"/>
          <w:szCs w:val="20"/>
        </w:rPr>
        <w:t xml:space="preserve"> dependency. Data on dependency were obtained from Halpern </w:t>
      </w:r>
      <w:r w:rsidR="00943C81">
        <w:rPr>
          <w:rFonts w:ascii="Times New Roman" w:hAnsi="Times New Roman" w:cs="Times New Roman"/>
          <w:sz w:val="20"/>
          <w:szCs w:val="20"/>
        </w:rPr>
        <w:fldChar w:fldCharType="begin">
          <w:fldData xml:space="preserve">PEVuZE5vdGU+PENpdGU+PEF1dGhvcj5IYWxwZXJuPC9BdXRob3I+PFllYXI+MjAxMjwvWWVhcj48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</w:fldData>
        </w:fldChar>
      </w:r>
      <w:r w:rsidR="00943C81">
        <w:rPr>
          <w:rFonts w:ascii="Times New Roman" w:hAnsi="Times New Roman" w:cs="Times New Roman"/>
          <w:sz w:val="20"/>
          <w:szCs w:val="20"/>
        </w:rPr>
        <w:instrText xml:space="preserve"> ADDIN EN.CITE </w:instrText>
      </w:r>
      <w:r w:rsidR="00943C81">
        <w:rPr>
          <w:rFonts w:ascii="Times New Roman" w:hAnsi="Times New Roman" w:cs="Times New Roman"/>
          <w:sz w:val="20"/>
          <w:szCs w:val="20"/>
        </w:rPr>
        <w:fldChar w:fldCharType="begin">
          <w:fldData xml:space="preserve">PEVuZE5vdGU+PENpdGU+PEF1dGhvcj5IYWxwZXJuPC9BdXRob3I+PFllYXI+MjAxMjwvWWVhcj48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</w:fldData>
        </w:fldChar>
      </w:r>
      <w:r w:rsidR="00943C81">
        <w:rPr>
          <w:rFonts w:ascii="Times New Roman" w:hAnsi="Times New Roman" w:cs="Times New Roman"/>
          <w:sz w:val="20"/>
          <w:szCs w:val="20"/>
        </w:rPr>
        <w:instrText xml:space="preserve"> ADDIN EN.CITE.DATA </w:instrText>
      </w:r>
      <w:r w:rsidR="00943C81">
        <w:rPr>
          <w:rFonts w:ascii="Times New Roman" w:hAnsi="Times New Roman" w:cs="Times New Roman"/>
          <w:sz w:val="20"/>
          <w:szCs w:val="20"/>
        </w:rPr>
      </w:r>
      <w:r w:rsidR="00943C81">
        <w:rPr>
          <w:rFonts w:ascii="Times New Roman" w:hAnsi="Times New Roman" w:cs="Times New Roman"/>
          <w:sz w:val="20"/>
          <w:szCs w:val="20"/>
        </w:rPr>
        <w:fldChar w:fldCharType="end"/>
      </w:r>
      <w:r w:rsidR="00943C81">
        <w:rPr>
          <w:rFonts w:ascii="Times New Roman" w:hAnsi="Times New Roman" w:cs="Times New Roman"/>
          <w:sz w:val="20"/>
          <w:szCs w:val="20"/>
        </w:rPr>
      </w:r>
      <w:r w:rsidR="00943C81">
        <w:rPr>
          <w:rFonts w:ascii="Times New Roman" w:hAnsi="Times New Roman" w:cs="Times New Roman"/>
          <w:sz w:val="20"/>
          <w:szCs w:val="20"/>
        </w:rPr>
        <w:fldChar w:fldCharType="separate"/>
      </w:r>
      <w:r w:rsidR="00943C81">
        <w:rPr>
          <w:rFonts w:ascii="Times New Roman" w:hAnsi="Times New Roman" w:cs="Times New Roman"/>
          <w:noProof/>
          <w:sz w:val="20"/>
          <w:szCs w:val="20"/>
        </w:rPr>
        <w:t>[</w:t>
      </w:r>
      <w:hyperlink w:anchor="_ENREF_1" w:tooltip="Halpern, 2012 #1966" w:history="1"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</w:hyperlink>
      <w:r w:rsidR="00943C81">
        <w:rPr>
          <w:rFonts w:ascii="Times New Roman" w:hAnsi="Times New Roman" w:cs="Times New Roman"/>
          <w:noProof/>
          <w:sz w:val="20"/>
          <w:szCs w:val="20"/>
        </w:rPr>
        <w:t>]</w:t>
      </w:r>
      <w:r w:rsidR="00943C81">
        <w:rPr>
          <w:rFonts w:ascii="Times New Roman" w:hAnsi="Times New Roman" w:cs="Times New Roman"/>
          <w:sz w:val="20"/>
          <w:szCs w:val="20"/>
        </w:rPr>
        <w:fldChar w:fldCharType="end"/>
      </w:r>
      <w:r w:rsidR="00943C81" w:rsidRPr="002E0A8F">
        <w:rPr>
          <w:rFonts w:ascii="Times New Roman" w:hAnsi="Times New Roman" w:cs="Times New Roman"/>
          <w:sz w:val="20"/>
          <w:szCs w:val="20"/>
        </w:rPr>
        <w:t xml:space="preserve"> and complemented with data from </w:t>
      </w:r>
      <w:r w:rsidR="00943C81">
        <w:rPr>
          <w:rFonts w:ascii="Times New Roman" w:hAnsi="Times New Roman" w:cs="Times New Roman"/>
          <w:sz w:val="20"/>
          <w:szCs w:val="20"/>
        </w:rPr>
        <w:t>World Bank</w:t>
      </w:r>
      <w:r w:rsidR="00943C81" w:rsidRPr="002E0A8F">
        <w:rPr>
          <w:rFonts w:ascii="Times New Roman" w:hAnsi="Times New Roman" w:cs="Times New Roman"/>
          <w:sz w:val="20"/>
          <w:szCs w:val="20"/>
        </w:rPr>
        <w:t xml:space="preserve"> &lt;http://faostat3.fao.org/home/index.html#DOWNLOAD&gt;</w:t>
      </w:r>
      <w:r w:rsidR="00943C81">
        <w:rPr>
          <w:rFonts w:ascii="Times New Roman" w:hAnsi="Times New Roman" w:cs="Times New Roman"/>
          <w:sz w:val="20"/>
          <w:szCs w:val="20"/>
        </w:rPr>
        <w:t xml:space="preserve"> and FAO  &lt;</w:t>
      </w:r>
      <w:r w:rsidR="00943C81" w:rsidRPr="00BB532D">
        <w:rPr>
          <w:rFonts w:ascii="Times New Roman" w:hAnsi="Times New Roman" w:cs="Times New Roman"/>
          <w:sz w:val="20"/>
          <w:szCs w:val="20"/>
        </w:rPr>
        <w:t>http://faostat3.fao.org/home/index.html#DOWNLOAD</w:t>
      </w:r>
      <w:r w:rsidR="00943C81">
        <w:rPr>
          <w:rFonts w:ascii="Times New Roman" w:hAnsi="Times New Roman" w:cs="Times New Roman"/>
          <w:sz w:val="20"/>
          <w:szCs w:val="20"/>
        </w:rPr>
        <w:t>&gt;</w:t>
      </w:r>
      <w:r w:rsidR="00943C81" w:rsidRPr="002E0A8F">
        <w:rPr>
          <w:rFonts w:ascii="Times New Roman" w:hAnsi="Times New Roman" w:cs="Times New Roman"/>
          <w:sz w:val="20"/>
          <w:szCs w:val="20"/>
        </w:rPr>
        <w:t>.</w:t>
      </w:r>
      <w:r w:rsidR="00943C81">
        <w:rPr>
          <w:rFonts w:ascii="Times New Roman" w:hAnsi="Times New Roman" w:cs="Times New Roman"/>
          <w:sz w:val="20"/>
          <w:szCs w:val="20"/>
        </w:rPr>
        <w:t xml:space="preserve"> Wealth or p</w:t>
      </w:r>
      <w:r w:rsidR="00943C81" w:rsidRPr="002E0A8F">
        <w:rPr>
          <w:rFonts w:ascii="Times New Roman" w:hAnsi="Times New Roman" w:cs="Times New Roman"/>
          <w:sz w:val="20"/>
          <w:szCs w:val="20"/>
        </w:rPr>
        <w:t>eople’s capacity to cope with the impact of environmental change was quantified as per capita GDP</w:t>
      </w:r>
      <w:r w:rsidR="00943C81">
        <w:rPr>
          <w:rFonts w:ascii="Times New Roman" w:hAnsi="Times New Roman" w:cs="Times New Roman"/>
          <w:sz w:val="20"/>
          <w:szCs w:val="20"/>
        </w:rPr>
        <w:t>.</w:t>
      </w:r>
      <w:r w:rsidR="00943C81" w:rsidRPr="002E0A8F">
        <w:rPr>
          <w:rFonts w:ascii="Times New Roman" w:hAnsi="Times New Roman" w:cs="Times New Roman"/>
          <w:sz w:val="20"/>
          <w:szCs w:val="20"/>
        </w:rPr>
        <w:t xml:space="preserve"> For purpose of classification, we divided </w:t>
      </w:r>
      <w:r w:rsidR="00943C81">
        <w:rPr>
          <w:rFonts w:ascii="Times New Roman" w:hAnsi="Times New Roman" w:cs="Times New Roman"/>
          <w:sz w:val="20"/>
          <w:szCs w:val="20"/>
        </w:rPr>
        <w:t>Low (L)</w:t>
      </w:r>
      <w:r w:rsidR="00943C81" w:rsidRPr="002E0A8F">
        <w:rPr>
          <w:rFonts w:ascii="Times New Roman" w:hAnsi="Times New Roman" w:cs="Times New Roman"/>
          <w:sz w:val="20"/>
          <w:szCs w:val="20"/>
        </w:rPr>
        <w:t xml:space="preserve">, </w:t>
      </w:r>
      <w:r w:rsidR="00943C81">
        <w:rPr>
          <w:rFonts w:ascii="Times New Roman" w:hAnsi="Times New Roman" w:cs="Times New Roman"/>
          <w:sz w:val="20"/>
          <w:szCs w:val="20"/>
        </w:rPr>
        <w:t>Medium (M)</w:t>
      </w:r>
      <w:r w:rsidR="00943C81" w:rsidRPr="002E0A8F">
        <w:rPr>
          <w:rFonts w:ascii="Times New Roman" w:hAnsi="Times New Roman" w:cs="Times New Roman"/>
          <w:sz w:val="20"/>
          <w:szCs w:val="20"/>
        </w:rPr>
        <w:t xml:space="preserve"> and </w:t>
      </w:r>
      <w:r w:rsidR="00943C81">
        <w:rPr>
          <w:rFonts w:ascii="Times New Roman" w:hAnsi="Times New Roman" w:cs="Times New Roman"/>
          <w:sz w:val="20"/>
          <w:szCs w:val="20"/>
        </w:rPr>
        <w:t>High (H)</w:t>
      </w:r>
      <w:r w:rsidR="00943C81" w:rsidRPr="002E0A8F">
        <w:rPr>
          <w:rFonts w:ascii="Times New Roman" w:hAnsi="Times New Roman" w:cs="Times New Roman"/>
          <w:sz w:val="20"/>
          <w:szCs w:val="20"/>
        </w:rPr>
        <w:t xml:space="preserve"> income countries depending on whether annual per capita GDP was smaller than US$4,000, between US$4,000 and US$12,000 and larger than US$12,000, respectively.</w:t>
      </w:r>
      <w:r w:rsidR="00943C81">
        <w:rPr>
          <w:rFonts w:ascii="Times New Roman" w:hAnsi="Times New Roman" w:cs="Times New Roman"/>
          <w:sz w:val="20"/>
          <w:szCs w:val="20"/>
        </w:rPr>
        <w:t xml:space="preserve"> Data on per capita GDP was obtained from the World Bank &lt;</w:t>
      </w:r>
      <w:r w:rsidR="00943C81" w:rsidRPr="002E0A8F">
        <w:t xml:space="preserve"> </w:t>
      </w:r>
      <w:hyperlink r:id="rId7" w:history="1">
        <w:r w:rsidR="001147A0" w:rsidRPr="0013450D">
          <w:rPr>
            <w:rStyle w:val="Hyperlink"/>
            <w:rFonts w:ascii="Times New Roman" w:hAnsi="Times New Roman" w:cs="Times New Roman"/>
            <w:sz w:val="20"/>
            <w:szCs w:val="20"/>
          </w:rPr>
          <w:t>http://databank.worldbank.org/databank/download/WDIandGDF_excel.zip</w:t>
        </w:r>
      </w:hyperlink>
      <w:r w:rsidR="00943C81">
        <w:rPr>
          <w:rFonts w:ascii="Times New Roman" w:hAnsi="Times New Roman" w:cs="Times New Roman"/>
          <w:sz w:val="20"/>
          <w:szCs w:val="20"/>
        </w:rPr>
        <w:t>&gt;.</w:t>
      </w:r>
      <w:r w:rsidR="001147A0">
        <w:rPr>
          <w:rFonts w:ascii="Times New Roman" w:hAnsi="Times New Roman" w:cs="Times New Roman"/>
          <w:sz w:val="20"/>
          <w:szCs w:val="20"/>
        </w:rPr>
        <w:t xml:space="preserve"> Some countries may be missing from this table given the lack of complete social-economic data in the available source </w:t>
      </w:r>
      <w:r w:rsidR="001147A0">
        <w:rPr>
          <w:rFonts w:ascii="Times New Roman" w:hAnsi="Times New Roman" w:cs="Times New Roman"/>
          <w:sz w:val="20"/>
          <w:szCs w:val="20"/>
        </w:rPr>
        <w:fldChar w:fldCharType="begin">
          <w:fldData xml:space="preserve">PEVuZE5vdGU+PENpdGU+PEF1dGhvcj5IYWxwZXJuPC9BdXRob3I+PFllYXI+MjAxMjwvWWVhcj48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</w:fldData>
        </w:fldChar>
      </w:r>
      <w:r w:rsidR="001147A0">
        <w:rPr>
          <w:rFonts w:ascii="Times New Roman" w:hAnsi="Times New Roman" w:cs="Times New Roman"/>
          <w:sz w:val="20"/>
          <w:szCs w:val="20"/>
        </w:rPr>
        <w:instrText xml:space="preserve"> ADDIN EN.CITE </w:instrText>
      </w:r>
      <w:r w:rsidR="001147A0">
        <w:rPr>
          <w:rFonts w:ascii="Times New Roman" w:hAnsi="Times New Roman" w:cs="Times New Roman"/>
          <w:sz w:val="20"/>
          <w:szCs w:val="20"/>
        </w:rPr>
        <w:fldChar w:fldCharType="begin">
          <w:fldData xml:space="preserve">PEVuZE5vdGU+PENpdGU+PEF1dGhvcj5IYWxwZXJuPC9BdXRob3I+PFllYXI+MjAxMjwvWWVhcj48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</w:fldData>
        </w:fldChar>
      </w:r>
      <w:r w:rsidR="001147A0">
        <w:rPr>
          <w:rFonts w:ascii="Times New Roman" w:hAnsi="Times New Roman" w:cs="Times New Roman"/>
          <w:sz w:val="20"/>
          <w:szCs w:val="20"/>
        </w:rPr>
        <w:instrText xml:space="preserve"> ADDIN EN.CITE.DATA </w:instrText>
      </w:r>
      <w:r w:rsidR="001147A0">
        <w:rPr>
          <w:rFonts w:ascii="Times New Roman" w:hAnsi="Times New Roman" w:cs="Times New Roman"/>
          <w:sz w:val="20"/>
          <w:szCs w:val="20"/>
        </w:rPr>
      </w:r>
      <w:r w:rsidR="001147A0">
        <w:rPr>
          <w:rFonts w:ascii="Times New Roman" w:hAnsi="Times New Roman" w:cs="Times New Roman"/>
          <w:sz w:val="20"/>
          <w:szCs w:val="20"/>
        </w:rPr>
        <w:fldChar w:fldCharType="end"/>
      </w:r>
      <w:r w:rsidR="001147A0">
        <w:rPr>
          <w:rFonts w:ascii="Times New Roman" w:hAnsi="Times New Roman" w:cs="Times New Roman"/>
          <w:sz w:val="20"/>
          <w:szCs w:val="20"/>
        </w:rPr>
      </w:r>
      <w:r w:rsidR="001147A0">
        <w:rPr>
          <w:rFonts w:ascii="Times New Roman" w:hAnsi="Times New Roman" w:cs="Times New Roman"/>
          <w:sz w:val="20"/>
          <w:szCs w:val="20"/>
        </w:rPr>
        <w:fldChar w:fldCharType="separate"/>
      </w:r>
      <w:r w:rsidR="001147A0">
        <w:rPr>
          <w:rFonts w:ascii="Times New Roman" w:hAnsi="Times New Roman" w:cs="Times New Roman"/>
          <w:noProof/>
          <w:sz w:val="20"/>
          <w:szCs w:val="20"/>
        </w:rPr>
        <w:t>[</w:t>
      </w:r>
      <w:hyperlink w:anchor="_ENREF_1" w:tooltip="Halpern, 2012 #1966" w:history="1"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</w:hyperlink>
      <w:r w:rsidR="001147A0">
        <w:rPr>
          <w:rFonts w:ascii="Times New Roman" w:hAnsi="Times New Roman" w:cs="Times New Roman"/>
          <w:noProof/>
          <w:sz w:val="20"/>
          <w:szCs w:val="20"/>
        </w:rPr>
        <w:t>]</w:t>
      </w:r>
      <w:r w:rsidR="001147A0">
        <w:rPr>
          <w:rFonts w:ascii="Times New Roman" w:hAnsi="Times New Roman" w:cs="Times New Roman"/>
          <w:sz w:val="20"/>
          <w:szCs w:val="20"/>
        </w:rPr>
        <w:fldChar w:fldCharType="end"/>
      </w:r>
      <w:r w:rsidR="001147A0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675"/>
        <w:gridCol w:w="675"/>
        <w:gridCol w:w="675"/>
        <w:gridCol w:w="675"/>
        <w:gridCol w:w="1440"/>
        <w:gridCol w:w="495"/>
        <w:gridCol w:w="495"/>
        <w:gridCol w:w="495"/>
        <w:gridCol w:w="495"/>
      </w:tblGrid>
      <w:tr w:rsidR="00943C81" w:rsidRPr="00714846" w:rsidTr="002B3F1D">
        <w:trPr>
          <w:cantSplit/>
          <w:trHeight w:val="539"/>
        </w:trPr>
        <w:tc>
          <w:tcPr>
            <w:tcW w:w="30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gridSpan w:val="4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i/>
                <w:color w:val="000000"/>
                <w:sz w:val="16"/>
                <w:szCs w:val="16"/>
              </w:rPr>
              <w:t>Cumulative stress score</w:t>
            </w:r>
          </w:p>
        </w:tc>
        <w:tc>
          <w:tcPr>
            <w:tcW w:w="1440" w:type="dxa"/>
            <w:vAlign w:val="center"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shd w:val="clear" w:color="auto" w:fill="auto"/>
            <w:noWrap/>
            <w:vAlign w:val="center"/>
          </w:tcPr>
          <w:p w:rsidR="00943C81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6"/>
                <w:szCs w:val="16"/>
              </w:rPr>
            </w:pPr>
          </w:p>
        </w:tc>
      </w:tr>
      <w:tr w:rsidR="00943C81" w:rsidRPr="00714846" w:rsidTr="002B3F1D">
        <w:trPr>
          <w:cantSplit/>
          <w:trHeight w:val="440"/>
        </w:trPr>
        <w:tc>
          <w:tcPr>
            <w:tcW w:w="30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i/>
                <w:color w:val="000000"/>
                <w:sz w:val="16"/>
                <w:szCs w:val="16"/>
              </w:rPr>
              <w:t>RCP85</w:t>
            </w:r>
          </w:p>
        </w:tc>
        <w:tc>
          <w:tcPr>
            <w:tcW w:w="1350" w:type="dxa"/>
            <w:gridSpan w:val="2"/>
            <w:vAlign w:val="center"/>
          </w:tcPr>
          <w:p w:rsidR="00943C81" w:rsidRPr="00714846" w:rsidRDefault="00943C81" w:rsidP="002B3F1D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i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i/>
                <w:color w:val="000000"/>
                <w:sz w:val="16"/>
                <w:szCs w:val="16"/>
              </w:rPr>
              <w:t>RCP45</w:t>
            </w:r>
          </w:p>
        </w:tc>
        <w:tc>
          <w:tcPr>
            <w:tcW w:w="1440" w:type="dxa"/>
            <w:vAlign w:val="center"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i/>
                <w:color w:val="000000"/>
                <w:sz w:val="16"/>
                <w:szCs w:val="16"/>
              </w:rPr>
              <w:t>Categorized</w:t>
            </w:r>
          </w:p>
        </w:tc>
      </w:tr>
      <w:tr w:rsidR="00943C81" w:rsidRPr="00714846" w:rsidTr="002B3F1D">
        <w:trPr>
          <w:cantSplit/>
          <w:trHeight w:val="1134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i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675" w:type="dxa"/>
            <w:shd w:val="clear" w:color="auto" w:fill="auto"/>
            <w:noWrap/>
            <w:textDirection w:val="btLr"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i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i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675" w:type="dxa"/>
            <w:shd w:val="clear" w:color="auto" w:fill="auto"/>
            <w:noWrap/>
            <w:textDirection w:val="btLr"/>
            <w:vAlign w:val="center"/>
          </w:tcPr>
          <w:p w:rsidR="00943C81" w:rsidRPr="00714846" w:rsidRDefault="00943C81" w:rsidP="002B3F1D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i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i/>
                <w:color w:val="000000"/>
                <w:sz w:val="16"/>
                <w:szCs w:val="16"/>
              </w:rPr>
              <w:t>SD</w:t>
            </w:r>
          </w:p>
        </w:tc>
        <w:tc>
          <w:tcPr>
            <w:tcW w:w="675" w:type="dxa"/>
            <w:textDirection w:val="btLr"/>
            <w:vAlign w:val="center"/>
          </w:tcPr>
          <w:p w:rsidR="00943C81" w:rsidRPr="00714846" w:rsidRDefault="00943C81" w:rsidP="002B3F1D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i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i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675" w:type="dxa"/>
            <w:textDirection w:val="btLr"/>
            <w:vAlign w:val="center"/>
          </w:tcPr>
          <w:p w:rsidR="00943C81" w:rsidRPr="00714846" w:rsidRDefault="00943C81" w:rsidP="002B3F1D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i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i/>
                <w:color w:val="000000"/>
                <w:sz w:val="16"/>
                <w:szCs w:val="16"/>
              </w:rPr>
              <w:t>SD</w:t>
            </w:r>
          </w:p>
        </w:tc>
        <w:tc>
          <w:tcPr>
            <w:tcW w:w="1440" w:type="dxa"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i/>
                <w:color w:val="000000"/>
                <w:sz w:val="16"/>
                <w:szCs w:val="16"/>
              </w:rPr>
              <w:t>Number of Coastal People</w:t>
            </w:r>
          </w:p>
        </w:tc>
        <w:tc>
          <w:tcPr>
            <w:tcW w:w="495" w:type="dxa"/>
            <w:shd w:val="clear" w:color="auto" w:fill="auto"/>
            <w:noWrap/>
            <w:textDirection w:val="btLr"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i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i/>
                <w:color w:val="000000"/>
                <w:sz w:val="16"/>
                <w:szCs w:val="16"/>
              </w:rPr>
              <w:t>RCP85</w:t>
            </w:r>
          </w:p>
        </w:tc>
        <w:tc>
          <w:tcPr>
            <w:tcW w:w="495" w:type="dxa"/>
            <w:shd w:val="clear" w:color="auto" w:fill="auto"/>
            <w:noWrap/>
            <w:textDirection w:val="btLr"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i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i/>
                <w:color w:val="000000"/>
                <w:sz w:val="16"/>
                <w:szCs w:val="16"/>
              </w:rPr>
              <w:t>RCP45</w:t>
            </w:r>
          </w:p>
        </w:tc>
        <w:tc>
          <w:tcPr>
            <w:tcW w:w="495" w:type="dxa"/>
            <w:shd w:val="clear" w:color="auto" w:fill="auto"/>
            <w:noWrap/>
            <w:textDirection w:val="btLr"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i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i/>
                <w:color w:val="000000"/>
                <w:sz w:val="16"/>
                <w:szCs w:val="16"/>
              </w:rPr>
              <w:t>Dependency</w:t>
            </w:r>
          </w:p>
        </w:tc>
        <w:tc>
          <w:tcPr>
            <w:tcW w:w="495" w:type="dxa"/>
            <w:shd w:val="clear" w:color="auto" w:fill="auto"/>
            <w:noWrap/>
            <w:textDirection w:val="btLr"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i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i/>
                <w:color w:val="000000"/>
                <w:sz w:val="16"/>
                <w:szCs w:val="16"/>
              </w:rPr>
              <w:t>Wealth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Albania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1.77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0.04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1.61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2,319,473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314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Algeria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1.65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0.04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1.44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16,673,221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American Samoa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1.48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0.22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1.22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0.22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518,784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Amsterdam Island and Saint Paul Island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1.56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0.08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1.26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Angola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2.07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0.24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1.95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0.24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5,059,029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Anguilla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1.41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0.10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1.19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216,002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Antarctica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0.71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0.23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0.51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Antigua and Barbuda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1.28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0.01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1.01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85,857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Argentina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1.90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0.50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1.52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0.44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17,657,580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Ascension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1.45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0.29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1.04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0.36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9,587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Australia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1.63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0.30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1.28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0.21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18,864,931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Azores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1.77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0.22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1.53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8,291,718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Bahamas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1.34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0.04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1.11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490,850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Bahrain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1.55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0.01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1.25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950,212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Bangladesh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1.50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0.05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1.35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41,843,795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Barbados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1.34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0.05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1.09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354,452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Belgium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2.35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0.02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2.26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2,146,247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lastRenderedPageBreak/>
              <w:t>Belize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1.42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0.02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1.22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287,434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Benin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1.79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0.09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1.65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3,720,956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Bosnia and Herzegovina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1.90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0.00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1.71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643,874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Bouvet Island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2.34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0.57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2.21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0.72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2,126,297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Brazil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1.53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0.28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1.28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0.32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79,397,939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British Indian Ocean Territory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1.47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0.01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1.17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Cambodia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1.39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0.02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1.14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1,819,182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Cameroon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1.59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0.02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1.37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2,297,252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Canada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2.10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0.46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1.78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0.51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14,910,276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Canary Islands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1.57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0.21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1.31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0.27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23,090,998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Cape Verde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1.67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0.13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1.44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714,489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Chile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1.27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0.24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1.08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0.27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5,899,596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China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1.94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0.48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1.76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0.50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219,540,736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Christmas Island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1.49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0.09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1.16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4,136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Clipperton Island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1.51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0.03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1.25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Colombia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1.62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0.14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1.42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0.21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9,356,811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Comoros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1.42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0.01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1.15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1,260,064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Cook Islands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1.49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0.33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1.18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0.31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4,047,923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Costa Rica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1.58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0.09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1.38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4,970,508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Croatia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1.95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0.10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1.75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1,556,494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Cuba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1.38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0.02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1.16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11,913,188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Cyprus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1.64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0.02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1.41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854,756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Democratic Republic of the Congo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1.94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0.11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1.78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340,744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Denmark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1.93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0.32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1.65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0.48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22,576,499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Djibouti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1.52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0.01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1.17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869,141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Dominica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1.32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0.03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1.07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95,281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Dominican Republic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1.35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0.04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1.11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9,959,779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East Timor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1.49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0.05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1.22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894,425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Ecuador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2.09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0.27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1.79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0.32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7,419,768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Egypt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1.51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0.07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1.25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24,044,054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El Salvador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1.66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0.10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1.50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6,324,486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Equatorial Guinea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1.83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0.13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1.69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441,875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Eritrea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1.46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0.03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1.15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1,255,268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lastRenderedPageBreak/>
              <w:t>Estonia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2.82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0.05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2.54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572,695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Fiji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1.34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0.05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1.05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1,129,555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Finland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2.84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0.07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2.54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1,957,730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France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1.76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0.12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1.59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15,271,951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French Guiana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1.57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0.06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1.30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186,611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French Polynesia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1.20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0.10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0.92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364,090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Gabon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1.92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0.11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1.79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1,012,110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Gambia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2.07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0.24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1.94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0.24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1,303,423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Germany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2.52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0.15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2.42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4,360,372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Ghana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1.80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0.16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1.60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10,050,707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Gibraltar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1.63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0.02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1.43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33,484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Greece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1.68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0.10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1.43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9,917,740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Grenada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1.63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0.11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1.45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134,285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Guadeloupe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1.30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0.03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1.04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1,081,208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Guatemala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1.62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0.04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1.42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2,483,037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Guernsey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2.08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0.27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2.00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0.31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111,946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Guinea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1.71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0.10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1.65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2,238,899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Guinea-Bissau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1.83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0.14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1.74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0.24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918,602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Guyana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1.66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0.11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1.45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625,614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Haiti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1.37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0.04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1.13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11,441,962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Heard Island and McDonald Islands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1.45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0.17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1.16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Honduras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1.45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0.03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1.24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3,763,203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Iceland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1.85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0.41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1.51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0.55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177,661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India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1.48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0.12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1.26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198,133,393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Indonesia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1.39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0.07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1.15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224,472,420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Iran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1.57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0.05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1.25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9,313,223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Iraq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1.48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0.00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1.19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446,899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Ireland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1.89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0.12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1.87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2,360,409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Israel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1.59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0.02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1.34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8,394,444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Italy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1.69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0.09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1.50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34,643,019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Ivory Coast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1.83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0.14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1.63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7,560,627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Jamaica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1.43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0.07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1.21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3,613,994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Japan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1.68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0.35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1.47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0.34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116,991,112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lastRenderedPageBreak/>
              <w:t>Jarvis Island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1.86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0.20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1.57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Johnston Atoll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1.49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0.09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1.21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Jordan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1.51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0.00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1.25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67,363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Kenya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1.54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0.03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1.30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3,480,576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Kiribati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1.52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0.28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1.27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0.28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124,368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Kuwait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1.49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0.01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1.19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2,439,086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Latvia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2.83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0.06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2.60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1,015,651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Lebanon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1.63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0.01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1.39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4,365,760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Liberia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1.72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0.09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1.52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2,776,090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Libya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1.55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0.03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1.29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4,589,621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Lithuania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2.83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0.03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2.64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268,618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Madagascar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1.42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0.04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1.18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8,317,494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Malaysia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1.41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0.05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1.21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28,078,948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Maldives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1.46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0.06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1.19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554,614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Malta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1.60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0.02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1.34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604,331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Marshall Islands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1.43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0.06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1.15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77,607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Mauritania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2.35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0.10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2.18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1,322,669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Mauritius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1.39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0.03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1.08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1,953,866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Mexico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1.55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0.14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1.36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27,747,544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Micronesia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1.40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0.06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1.15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217,472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Monaco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1.75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0.00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1.67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45,663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Morocco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1.48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0.15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1.27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19,567,189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Mozambique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1.42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0.03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1.16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11,424,908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Myanmar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1.34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0.05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1.17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17,921,319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Namibia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2.30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0.23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2.08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0.25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238,249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Nauru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1.65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0.14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1.44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17,958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Netherlands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2.37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0.03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2.32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7,095,690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Netherlands Antilles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1.71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0.27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1.59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0.36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458,053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New Caledonia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1.44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0.04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1.12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335,332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Nicaragua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1.55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0.11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1.39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4,863,367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Nigeria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1.68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0.06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1.49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25,400,720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North Korea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2.52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0.08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2.38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14,972,005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Oman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1.96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0.25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1.60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0.21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3,145,910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lastRenderedPageBreak/>
              <w:t>Pakistan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1.59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0.06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1.27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17,532,936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Palau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1.42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0.01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1.16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41,411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Panama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1.47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0.08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1.27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4,485,223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Papua New Guinea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1.41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0.05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1.16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3,533,912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Peru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2.21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0.12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1.92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0.28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18,221,101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Philippines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1.41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0.03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1.16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91,478,135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Pitcairn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1.13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0.08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0.89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Poland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2.81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0.04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2.59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2,619,724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Prince Edward Islands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1.50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0.16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1.29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14,192,484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Puerto Rico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1.33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0.03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1.07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5,889,217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Qatar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1.57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0.04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1.27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741,937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Russia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2.27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0.43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2.00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0.53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8,330,324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Saint Kitts and Nevis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1.30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0.01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1.03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46,340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Saint Lucia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1.39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0.03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1.14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220,462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Saint Pierre and Miquelon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2.70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0.21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2.64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7,340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Saint Vincent and the Grenadines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1.46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0.05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1.23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138,837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Samoa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1.26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0.01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1.00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211,723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Sao Tome and Principe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1.66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0.05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1.43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216,780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Saudi Arabia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1.45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0.04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1.16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4,602,252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Senegal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2.06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0.25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1.93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0.27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7,950,893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Serbia and Montenegro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1.84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0.07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1.66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260,022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Seychelles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1.47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0.02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1.20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123,837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Sierra Leone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1.63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0.08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1.48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3,175,642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Singapore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1.40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0.00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1.18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6,174,908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Slovenia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2.18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0.00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1.88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347,970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Solomon Islands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1.33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0.03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1.07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879,806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Somalia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1.68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0.08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1.38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7,926,014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South Korea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2.23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0.22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2.05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0.23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38,119,966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Sri Lanka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1.63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0.06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1.37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19,538,921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Sudan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1.40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0.01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1.10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964,075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Suriname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1.69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0.11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1.45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480,783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Sweden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2.87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0.09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2.62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3,976,660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Syria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1.65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0.01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1.43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4,154,032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lastRenderedPageBreak/>
              <w:t>Taiwan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1.44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0.05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1.24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27,421,100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Tanzania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1.46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0.03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1.20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9,022,265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Thailand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1.35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0.02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1.15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32,224,400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Togo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1.82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0.12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1.66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2,767,901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Tonga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1.34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0.05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1.05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133,259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Trinidad and Tobago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1.58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0.14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1.39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0.18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1,720,359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Tunisia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1.62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0.02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1.37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7,202,610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Turkey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1.69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0.05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1.47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34,610,765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Tuvalu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1.24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0.04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0.99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18,006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United Arab Emirates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1.68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0.05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1.35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2,442,252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Uruguay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2.10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0.20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1.98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0.22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2,330,661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USA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2.00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0.47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1.76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0.49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124,387,013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Vanuatu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1.36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0.02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1.07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323,457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H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Venezuela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1.77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0.30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1.63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0.36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20,602,213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Vietnam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1.42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0.03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1.16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51,903,256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  <w:tr w:rsidR="00943C81" w:rsidRPr="00714846" w:rsidTr="002B3F1D">
        <w:trPr>
          <w:trHeight w:val="29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Yemen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1.81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0.20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1.46</w:t>
            </w:r>
          </w:p>
        </w:tc>
        <w:tc>
          <w:tcPr>
            <w:tcW w:w="675" w:type="dxa"/>
            <w:vAlign w:val="center"/>
          </w:tcPr>
          <w:p w:rsidR="00943C81" w:rsidRPr="00714846" w:rsidRDefault="00943C81" w:rsidP="002B3F1D">
            <w:pPr>
              <w:jc w:val="center"/>
              <w:rPr>
                <w:sz w:val="16"/>
                <w:szCs w:val="16"/>
              </w:rPr>
            </w:pPr>
            <w:r w:rsidRPr="00714846">
              <w:rPr>
                <w:sz w:val="16"/>
                <w:szCs w:val="16"/>
              </w:rPr>
              <w:t>0.21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7,890,628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943C81" w:rsidRPr="00714846" w:rsidRDefault="00943C81" w:rsidP="002B3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4846">
              <w:rPr>
                <w:rFonts w:eastAsia="Times New Roman" w:cstheme="minorHAnsi"/>
                <w:color w:val="000000"/>
                <w:sz w:val="16"/>
                <w:szCs w:val="16"/>
              </w:rPr>
              <w:t>L</w:t>
            </w:r>
          </w:p>
        </w:tc>
      </w:tr>
    </w:tbl>
    <w:p w:rsidR="00943C81" w:rsidRPr="008144DF" w:rsidRDefault="00943C81" w:rsidP="00943C81">
      <w:pPr>
        <w:rPr>
          <w:rFonts w:ascii="Arial" w:hAnsi="Arial" w:cs="Arial"/>
          <w:sz w:val="14"/>
          <w:szCs w:val="14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855"/>
        <w:gridCol w:w="855"/>
        <w:gridCol w:w="855"/>
        <w:gridCol w:w="855"/>
        <w:gridCol w:w="855"/>
        <w:gridCol w:w="855"/>
        <w:gridCol w:w="855"/>
        <w:gridCol w:w="855"/>
      </w:tblGrid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Temperature (</w:t>
            </w:r>
            <w:r w:rsidRPr="008144DF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vertAlign w:val="superscript"/>
              </w:rPr>
              <w:t>o</w:t>
            </w:r>
            <w:r w:rsidRPr="008144DF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C)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rcp85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rcp45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Accuracy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Precision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MEAN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STD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MEAN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STD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MEAN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STD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MEAN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STD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Albania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3.87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1.81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Algeria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3.32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American Samoa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2.96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-0.49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0.18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Angola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3.21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3.12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0.11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Anguilla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2.96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Antigua and Barbuda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2.77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-1.08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Argentina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2.58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0.63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Australia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2.91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0.39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Bahamas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2.92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Bahrain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3.65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1.60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-1.97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1.74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Bangladesh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2.98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Barbados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2.80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Belgium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3.23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Belize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2.92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Benin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Bosnia and Herzegovina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1.93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Bouvet Island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3.09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1.88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0.69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Brazil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2.87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-0.57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0.14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Cambodia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2.89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Cameroon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3.10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Canada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2.96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0.65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Canary Islands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2.76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0.16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Cape Verde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0.12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Chile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0.38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China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3.48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1.66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0.58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Colombia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-0.59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0.24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Comoros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2.98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Cook Islands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2.60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0.35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Costa Rica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3.09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Croatia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1.89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-0.94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Cuba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2.93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-0.52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Cyprus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3.67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1.66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-0.47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0.21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Democratic Republic of the Congo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1.81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Denmark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1.54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0.93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Djibouti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3.38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-1.44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1.69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Dominica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2.75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Dominican Republic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2.82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-0.94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East Timor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2.98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Ecuador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3.37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1.51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1.63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0.16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Egypt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3.49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1.54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0.43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El Salvador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3.11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Equatorial Guinea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3.22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1.56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Eritrea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3.42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-2.15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2.08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Estonia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4.22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1.96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1.57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Fiji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2.68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Finland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1.93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1.54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France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2.92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French Guiana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2.94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-0.55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French Polynesia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2.40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-0.45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0.22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Gabon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3.21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2.10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Gambia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3.12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0.12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3.39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Ghana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3.11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Gibraltar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Greece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3.63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1.63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0.13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Grenada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2.84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-1.17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0.11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Guadeloupe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2.75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-1.18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Guatemala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Guernsey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2.40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0.29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Guinea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Guinea-Bissau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0.13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Guyana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2.92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Haiti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2.86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Honduras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2.91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-1.05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Iceland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1.88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2.39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India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2.89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Iran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3.49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1.54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-1.37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0.47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Iraq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3.77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1.65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1.86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Ireland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0.15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Israel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3.62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1.61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-0.66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Italy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3.62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1.65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0.11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Ivory Coast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3.11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Jamaica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2.87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-1.20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Japan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3.28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1.55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0.63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Jordan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3.54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1.54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Kenya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3.13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Kiribati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2.94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0.12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Kuwait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3.76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1.64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-1.52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1.87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Latvia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4.16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1.94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1.51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Lebanon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3.71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1.67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-0.92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Liberia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3.10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Libya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3.50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1.56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0.13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Lithuania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4.11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1.93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Madagascar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2.90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Malaysia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2.91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0.13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Maldives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Malta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3.56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1.58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Marshall Islands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2.97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Mauritania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3.19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0.22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Mauritius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2.82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Mexico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0.27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Micronesia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2.94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Monaco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3.57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1.70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Morocco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2.72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0.14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Mozambique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2.96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2.88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Namibia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3.11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3.31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1.67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0.15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Nauru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-0.44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Netherlands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Netherlands Antilles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2.89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-1.37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New Caledonia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2.86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Nicaragua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2.96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-0.41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Nigeria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North Korea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4.39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2.18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1.84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2.45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0.22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Oman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-0.76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0.13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Pakistan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3.21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-0.91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Palau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2.94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Panama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0.18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Papua New Guinea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2.84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3.34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1.52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0.13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Philippines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2.95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Poland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3.95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1.83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1.51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Prince Edward Islands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2.62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0.21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Puerto Rico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2.80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Qatar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3.61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1.59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-1.76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1.77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Russia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3.60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1.57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-0.41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0.66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Saint Kitts and Nevis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2.75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-1.15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Saint Lucia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2.77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Saint Pierre and Miquelon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1.93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2.93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2.17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Saint Vincent and the Grenadines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2.79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-0.99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Samoa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2.60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Sao Tome and Principe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3.18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Saudi Arabia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3.47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-1.79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1.97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0.17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Senegal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3.13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0.23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Serbia and Montenegro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3.96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1.88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Seychelles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3.08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Sierra Leone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Singapore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2.91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Slovenia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1.84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Solomon Islands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2.72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Somalia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3.30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0.14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South Korea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3.94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1.90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0.22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Sri Lanka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Sudan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3.37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1.97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Suriname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2.93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-0.81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0.12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Sweden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1.86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1.50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Syria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3.76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1.71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Taiwan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2.88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Tanzania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Thailand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2.88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Togo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3.12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Tonga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2.66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-0.40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Trinidad and Tobago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2.86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-0.96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Tunisia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3.56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1.59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Turkey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3.74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1.69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-0.48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0.31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Tuvalu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2.67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United Arab Emirates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3.54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1.56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-1.66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1.73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Uruguay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0.32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3.54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1.64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0.37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Vanuatu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2.73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Venezuela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2.89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-1.31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0.15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Vietnam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2.87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0.11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Yemen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3.42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-0.45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0.32</w:t>
            </w:r>
          </w:p>
        </w:tc>
      </w:tr>
    </w:tbl>
    <w:p w:rsidR="00943C81" w:rsidRPr="008144DF" w:rsidRDefault="00943C81" w:rsidP="00943C81">
      <w:pPr>
        <w:rPr>
          <w:rFonts w:ascii="Arial" w:hAnsi="Arial" w:cs="Arial"/>
          <w:sz w:val="14"/>
          <w:szCs w:val="14"/>
        </w:rPr>
      </w:pPr>
    </w:p>
    <w:p w:rsidR="00943C81" w:rsidRPr="008144DF" w:rsidRDefault="00943C81" w:rsidP="00943C81">
      <w:pPr>
        <w:rPr>
          <w:rFonts w:ascii="Arial" w:hAnsi="Arial" w:cs="Arial"/>
          <w:sz w:val="14"/>
          <w:szCs w:val="14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5"/>
        <w:gridCol w:w="858"/>
        <w:gridCol w:w="858"/>
        <w:gridCol w:w="858"/>
        <w:gridCol w:w="858"/>
        <w:gridCol w:w="858"/>
        <w:gridCol w:w="858"/>
        <w:gridCol w:w="858"/>
        <w:gridCol w:w="859"/>
      </w:tblGrid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Oxygen (ml/L)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rcp85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Rcp45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Accuracy</w:t>
            </w:r>
          </w:p>
        </w:tc>
        <w:tc>
          <w:tcPr>
            <w:tcW w:w="1717" w:type="dxa"/>
            <w:gridSpan w:val="2"/>
            <w:shd w:val="clear" w:color="auto" w:fill="auto"/>
            <w:noWrap/>
            <w:vAlign w:val="bottom"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Precision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MEAN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STD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MEAN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STD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MEAN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STD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MEAN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STD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Albania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-0.36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-0.18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Algeria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-0.29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American Samoa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-0.09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Angola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Anguilla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Antigua and Barbuda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-0.09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Argentina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-0.05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Australia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Bahamas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Bahrain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-0.27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0.36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Bangladesh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Barbados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-0.09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Belgium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-0.36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Belize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Benin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Bosnia and Herzegovina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-0.38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Bouvet Island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-0.46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-0.26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0.47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0.12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Brazil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Cambodia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-0.18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-0.08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Cameroon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Canada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0.34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Canary Islands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Cape Verde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-0.08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Chile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0.12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China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-0.15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0.10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Colombia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Comoros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-0.09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Cook Islands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Costa Rica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-0.09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Croatia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-0.40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Cuba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Cyprus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-0.16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Democratic Republic of the Congo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Denmark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-0.25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-0.06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0.39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0.11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Djibouti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Dominica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-0.09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Dominican Republic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-0.09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East Timor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-0.09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Ecuador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Egypt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-0.27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El Salvador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-0.06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Equatorial Guinea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-0.07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Eritrea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Estonia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-0.65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-0.28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0.65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Fiji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-0.08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Finland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-0.67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-0.35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France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-0.27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French Guiana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French Polynesia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-0.18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-0.08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Gabon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Gambia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-0.25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-0.44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0.46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Ghana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Gibraltar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-0.25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Greece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-0.17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Grenada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-0.09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Guadeloupe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-0.09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Guatemala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Guernsey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-0.27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-0.15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0.35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Guinea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-0.07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Guinea-Bissau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Guyana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-0.09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Haiti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-0.09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Honduras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Iceland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-0.28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-0.05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India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-0.09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-0.19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-0.08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Iran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-0.25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0.14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Iraq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-0.28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Ireland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-0.18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-0.08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Israel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-0.29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Italy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-0.16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Ivory Coast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Jamaica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Japan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-0.26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-0.05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0.11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Jordan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-0.27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Kenya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Kiribati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-0.09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Kuwait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-0.28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-0.42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Latvia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-0.66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-0.35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-0.42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0.69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Lebanon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-0.15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Liberia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Libya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Lithuania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-0.66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-0.36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0.69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Madagascar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-0.06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Malaysia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-0.19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-0.09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Maldives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-0.09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Malta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Marshall Islands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-0.09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Mauritania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-0.27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Mauritius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-0.08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Mexico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-0.07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Micronesia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-0.08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Monaco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-0.18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Morocco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-0.05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Mozambique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-0.09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-0.09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-0.19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-0.09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Namibia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-0.27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-0.40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Nauru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Netherlands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-0.37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0.39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Netherlands Antilles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New Caledonia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-0.09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Nicaragua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Nigeria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-0.15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North Korea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-0.49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-0.26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-0.36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0.29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Oman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Pakistan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Palau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-0.08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-0.07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Panama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-0.09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Papua New Guinea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-0.09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Philippines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-0.09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Poland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-0.62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-0.39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0.69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Prince Edward Islands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-0.26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-0.16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Puerto Rico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-0.09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Qatar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-0.26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0.36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Russia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-0.49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-0.06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Saint Kitts and Nevis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-0.09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Saint Lucia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-0.09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Saint Pierre and Miquelon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-0.56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-0.29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-0.39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0.46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Saint Vincent and the Grenadines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-0.09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Samoa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-0.18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-0.08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Sao Tome and Principe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-0.05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Saudi Arabia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-0.25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Senegal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-0.25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Serbia and Montenegro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-0.37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-0.19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Seychelles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Sierra Leone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-0.05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Singapore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-0.18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-0.08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Slovenia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-0.44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Solomon Islands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-0.18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-0.08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-0.05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Somalia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South Korea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-0.38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-0.19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-0.19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Sri Lanka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-0.09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Sudan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Suriname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Sweden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-0.66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-0.35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0.72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Syria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-0.16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Taiwan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-0.09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Tanzania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-0.09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-0.15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Thailand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-0.18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-0.08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Togo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Tonga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-0.09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Trinidad and Tobago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-0.09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Tunisia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Turkey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-0.17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0.28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Tuvalu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-0.18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-0.08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United Arab Emirates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-0.25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-0.05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0.29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Uruguay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-0.18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-0.39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-0.18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-0.05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0.13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Vanuatu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-0.19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-0.08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Venezuela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Vietnam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-0.19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-0.08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</w:tr>
      <w:tr w:rsidR="00943C81" w:rsidRPr="008144DF" w:rsidTr="002B3F1D">
        <w:trPr>
          <w:trHeight w:val="290"/>
        </w:trPr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Yemen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</w:tr>
    </w:tbl>
    <w:p w:rsidR="00943C81" w:rsidRPr="008144DF" w:rsidRDefault="00943C81" w:rsidP="00943C81">
      <w:pPr>
        <w:rPr>
          <w:rFonts w:ascii="Arial" w:hAnsi="Arial" w:cs="Arial"/>
          <w:sz w:val="14"/>
          <w:szCs w:val="14"/>
        </w:rPr>
      </w:pPr>
    </w:p>
    <w:p w:rsidR="00943C81" w:rsidRPr="008144DF" w:rsidRDefault="00943C81" w:rsidP="00943C81">
      <w:pPr>
        <w:rPr>
          <w:rFonts w:ascii="Arial" w:hAnsi="Arial" w:cs="Arial"/>
          <w:sz w:val="14"/>
          <w:szCs w:val="14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855"/>
        <w:gridCol w:w="855"/>
        <w:gridCol w:w="855"/>
        <w:gridCol w:w="855"/>
        <w:gridCol w:w="855"/>
        <w:gridCol w:w="855"/>
        <w:gridCol w:w="855"/>
        <w:gridCol w:w="855"/>
      </w:tblGrid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pH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rcp85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rcp45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Accuracy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Precision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MEAN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STD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MEAN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STD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MEAN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STD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MEAN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STD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Albania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Algeria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American Samoa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Angola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Anguilla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Antigua and Barbuda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Argentina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Australia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Bahamas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Bahrain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Bangladesh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Barbados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Belgium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Belize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Benin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Bosnia and Herzegovina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Bouvet Island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Brazil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Cambodia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Cameroon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Canada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Canary Islands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Cape Verde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Chile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China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Colombia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Comoros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Cook Islands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Costa Rica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Croatia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Cuba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Cyprus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Democratic Republic of the Congo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Denmark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Djibouti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Dominica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Dominican Republic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East Timor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Ecuador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Egypt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El Salvador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Equatorial Guinea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Eritrea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Estonia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-0.40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Fiji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Finland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-0.41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France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French Guiana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French Polynesia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Gabon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Gambia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0.15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Ghana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Gibraltar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Greece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Grenada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Guadeloupe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Guatemala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Guernsey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Guinea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Guinea-Bissau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Guyana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Haiti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Honduras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Iceland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India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Iran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Iraq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Ireland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Israel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Italy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Ivory Coast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Jamaica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Japan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Jordan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Kenya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Kiribati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Kuwait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Latvia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Lebanon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Liberia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Libya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Lithuania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Madagascar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Malaysia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Maldives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Malta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Marshall Islands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Mauritania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Mauritius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Mexico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Micronesia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Monaco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Morocco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Mozambique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Namibia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Nauru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Netherlands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Netherlands Antilles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New Caledonia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Nicaragua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Nigeria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North Korea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Oman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Pakistan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Palau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Panama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Papua New Guinea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Philippines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Poland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Prince Edward Islands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Puerto Rico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Qatar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Russia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Saint Kitts and Nevis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Saint Lucia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Saint Pierre and Miquelon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Saint Vincent and the Grenadines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Samoa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Sao Tome and Principe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Saudi Arabia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Senegal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Serbia and Montenegro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Seychelles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Sierra Leone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Singapore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Slovenia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Solomon Islands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Somalia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South Korea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Sri Lanka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Sudan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Suriname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Sweden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-0.40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Syria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Taiwan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Tanzania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Thailand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Togo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Tonga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Trinidad and Tobago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Tunisia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Turkey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Tuvalu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United Arab Emirates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Uruguay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Vanuatu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Venezuela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Vietnam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-0.31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Yemen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</w:t>
            </w:r>
          </w:p>
        </w:tc>
      </w:tr>
    </w:tbl>
    <w:p w:rsidR="00943C81" w:rsidRPr="008144DF" w:rsidRDefault="00943C81" w:rsidP="00943C81">
      <w:pPr>
        <w:rPr>
          <w:rFonts w:ascii="Arial" w:hAnsi="Arial" w:cs="Arial"/>
          <w:sz w:val="14"/>
          <w:szCs w:val="14"/>
        </w:rPr>
      </w:pPr>
    </w:p>
    <w:p w:rsidR="00943C81" w:rsidRPr="008144DF" w:rsidRDefault="00943C81" w:rsidP="00943C81">
      <w:pPr>
        <w:rPr>
          <w:rFonts w:ascii="Arial" w:hAnsi="Arial" w:cs="Arial"/>
          <w:sz w:val="14"/>
          <w:szCs w:val="14"/>
        </w:rPr>
      </w:pPr>
    </w:p>
    <w:p w:rsidR="00943C81" w:rsidRPr="008144DF" w:rsidRDefault="00943C81" w:rsidP="00943C81">
      <w:pPr>
        <w:rPr>
          <w:rFonts w:ascii="Arial" w:hAnsi="Arial" w:cs="Arial"/>
          <w:sz w:val="14"/>
          <w:szCs w:val="14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855"/>
        <w:gridCol w:w="855"/>
        <w:gridCol w:w="855"/>
        <w:gridCol w:w="855"/>
        <w:gridCol w:w="855"/>
        <w:gridCol w:w="855"/>
        <w:gridCol w:w="855"/>
        <w:gridCol w:w="855"/>
      </w:tblGrid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</w:tcPr>
          <w:p w:rsidR="00943C81" w:rsidRPr="00682967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682967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 xml:space="preserve">Phytoplankton Carbon Concentration 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</w:tcPr>
          <w:p w:rsidR="00943C81" w:rsidRPr="00682967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682967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rcp85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</w:tcPr>
          <w:p w:rsidR="00943C81" w:rsidRPr="00682967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682967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rcp45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</w:tcPr>
          <w:p w:rsidR="00943C81" w:rsidRPr="00682967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682967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Accuracy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</w:tcPr>
          <w:p w:rsidR="00943C81" w:rsidRPr="00682967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682967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Precision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682967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682967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(mg C/L)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682967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682967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MEAN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682967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682967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STD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682967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682967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MEAN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682967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682967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STD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682967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682967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MEAN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682967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682967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STD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682967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682967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MEAN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682967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  <w:r w:rsidRPr="00682967"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  <w:t>STD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Albania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0.0070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0.0003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Algeria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-0.0016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0.0181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0.0131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0.0018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American Samoa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-0.0025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0.0038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-0.0013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0.0149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0.0128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0.0095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0.0105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Angola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-0.0148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0.0076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-0.0092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0.0049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0.0342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0.0108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0.0310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0.0137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Anguilla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0.0034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0.0050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0.0008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Antigua and Barbuda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0.0073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0.0047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0.0002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Argentina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-0.0062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0.0065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-0.0017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0.0036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0.0673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0.0172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0.0337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0.0127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Australia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-0.0033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-0.0012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0.0209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0.0122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0.0068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Bahamas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0.0098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0.0050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0.0004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Bahrain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-0.0019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0.0125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0.0081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0.0001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Bangladesh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-0.0018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-0.0012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0.0090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0.0012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Barbados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0.0112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0.0049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0.0007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Belgium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-0.0091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-0.0060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Belize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-0.0025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-0.0016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0.0132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0.0052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0.0004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Benin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-0.0078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-0.0047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0.0253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0.0036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Bosnia and Herzegovina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Bouvet Island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-0.0052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0.0040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-0.0027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0.0030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0.0299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0.0047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0.0152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0.0063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Brazil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-0.0038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0.0039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-0.0020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0.0178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0.0089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0.0119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0.0085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Cambodia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0.0173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0.0171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0.0072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Cameroon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-0.0039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-0.0021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Canada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-0.0039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0.0043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-0.0022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0.0297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0.0074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0.0145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0.0069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Canary Islands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0.0034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0.0045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0.0258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0.0186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0.0230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0.0230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Cape Verde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-0.0053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-0.0026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0.0227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0.0053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0.0131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0.0036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Chile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0.0059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0.0444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0.0363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0.0347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0.0381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China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-0.0033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-0.0018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0.0194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0.0077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0.0150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0.0112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Colombia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-0.0063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-0.0033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0.0294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0.0122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0.0193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0.0101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Comoros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-0.0013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0.0059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0.0005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Cook Islands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-0.0017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0.0032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0.0246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0.0188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0.0150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0.0155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Costa Rica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-0.0066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-0.0030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0.0431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0.0060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0.0311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0.0059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Croatia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-0.0010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0.0132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0.0122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0.0040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Cuba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-0.0016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-0.0010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0.0046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0.0006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Cyprus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0.0079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0.0059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0.0004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Democratic Republic of the Congo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-0.0087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-0.0052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0.0352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0.0045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Denmark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-0.0059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0.0331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0.0073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0.0174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0.0057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Djibouti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-0.0019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0.0182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0.0004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Dominica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-0.0010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0.0097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0.0055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0.0007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Dominican Republic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-0.0013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0.0099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0.0054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0.0008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East Timor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-0.0030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-0.0016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0.0157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0.0082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0.0018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Ecuador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-0.0168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0.0080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-0.0064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0.0034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0.0753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0.0242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0.0616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0.0228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Egypt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0.0079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0.0057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0.0008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El Salvador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-0.0073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-0.0041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0.0352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0.0042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0.0254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0.0048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Equatorial Guinea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-0.0083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-0.0049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0.0277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0.0032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0.0226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0.0060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Eritrea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-0.0013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0.0094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0.0023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Estonia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-0.0025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-0.0011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0.0245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0.0324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0.0029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Fiji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0.0082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0.0039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0.0002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Finland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0.0272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0.0349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0.0032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France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-0.0037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-0.0022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0.0221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0.0038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0.0180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0.0060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French Guiana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-0.0044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-0.0024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0.0236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0.0032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0.0094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French Polynesia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0.0091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0.0039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0.0052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0.0018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Gabon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-0.0094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-0.0056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0.0316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0.0033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0.0226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0.0060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Gambia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-0.0141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0.0056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-0.0082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0.0035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0.0105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-0.0078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-0.0054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0.0268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0.0113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0.0045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Ghana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-0.0083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-0.0044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0.0239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0.0038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0.0187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0.0059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Gibraltar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-0.0031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-0.0020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Greece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0.0086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0.0069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0.0017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Grenada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-0.0065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-0.0038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0.0240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0.0049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0.0145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0.0056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Guadeloupe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0.0086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0.0051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0.0007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Guatemala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-0.0062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-0.0032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0.0297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0.0188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0.0028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Guernsey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-0.0099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0.0034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-0.0064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0.0340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0.0072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0.0186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0.0066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Guinea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-0.0074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-0.0050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0.0240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0.0043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0.0190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0.0063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Guinea-Bissau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-0.0092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-0.0056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0.0279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0.0079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0.0213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0.0074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Guyana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-0.0066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-0.0037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0.0248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0.0066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0.0132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0.0045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Haiti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-0.0010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0.0051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Honduras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-0.0030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-0.0019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0.0132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0.0062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0.0009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Iceland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-0.0067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-0.0030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0.0345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0.0031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0.0171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0.0022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India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-0.0028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0.0199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0.0038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0.0113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0.0041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Indonesia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-0.0017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-0.0010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0.0164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0.0044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0.0075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0.0034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Iran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-0.0031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0.0239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0.0071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0.0124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0.0043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Iraq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0.0082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Ireland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-0.0101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-0.0076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0.0310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0.0031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0.0242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0.0048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Israel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0.0070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0.0052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0.0001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Italy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0.0131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0.0096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0.0021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Ivory Coast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-0.0090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-0.0047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0.0257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0.0049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0.0062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Jamaica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-0.0025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-0.0016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0.0121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0.0060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0.0015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Japan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-0.0018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0.0111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0.0060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0.0052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0.0024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Jordan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Kenya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-0.0028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0.0149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0.0070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0.0007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Kiribati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-0.0048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0.0037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-0.0023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0.0251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0.0133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0.0168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0.0122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Kuwait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0.0083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0.0001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Latvia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-0.0032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-0.0019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0.0247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0.0321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0.0042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Lebanon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0.0070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0.0052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0.0001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Liberia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-0.0070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-0.0038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0.0220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0.0030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0.0155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0.0036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Libya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0.0081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0.0064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0.0014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Lithuania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-0.0037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-0.0025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0.0225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0.0038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Madagascar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-0.0010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0.0091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0.0048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0.0008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Malaysia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0.0149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0.0076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0.0030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Maldives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-0.0012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0.0165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0.0082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0.0008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Malta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0.0093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0.0077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0.0008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Marshall Islands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-0.0021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-0.0011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0.0121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0.0033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0.0054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Mauritania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-0.0275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0.0091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-0.0141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0.0044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0.0709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0.0279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0.0718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0.0360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Mauritius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-0.0011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0.0099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0.0052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0.0005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Mexico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-0.0039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-0.0021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0.0168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0.0044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0.0055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Micronesia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-0.0022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-0.0013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0.0125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0.0037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0.0062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0.0025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Monaco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0.0146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Morocco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-0.0021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0.0033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0.0062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0.0392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0.0177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0.0332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0.0232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Mozambique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-0.0011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0.0052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0.0004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Myanmar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0.0032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0.0108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0.0023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Namibia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-0.0399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0.0217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-0.0213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0.0125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0.0987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0.0424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0.1067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0.0602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Nauru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-0.0063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-0.0031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0.0244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0.0056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0.0168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0.0063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Netherlands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-0.0095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-0.0065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0.0340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0.0137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0.0029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Netherlands Antilles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-0.0073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0.0043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-0.0048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0.0180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0.0039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0.0131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0.0058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New Caledonia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0.0083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0.0042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0.0005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Nicaragua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-0.0052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-0.0032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0.0274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0.0124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0.0162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0.0117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Nigeria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-0.0058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-0.0033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0.0218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0.0138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0.0024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North Korea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-0.0040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-0.0019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0.0219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0.0109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0.0067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Oman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-0.0100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0.0045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-0.0041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0.0365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0.0081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0.0240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0.0149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Pakistan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-0.0037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0.0278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0.0130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0.0025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Palau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-0.0023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-0.0013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0.0111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0.0055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0.0006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Panama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-0.0044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-0.0022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0.0333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0.0144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0.0212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0.0109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Papua New Guinea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-0.0026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0.0146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0.0070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0.0026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Peru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-0.0257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0.0086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-0.0091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0.0045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0.1282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0.0394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0.1443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0.0582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Philippines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-0.0011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0.0096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0.0057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0.0013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Poland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-0.0047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0.0234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0.0246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0.0018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Prince Edward Islands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0.0059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0.0293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0.0168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0.0153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0.0197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Puerto Rico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0.0094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0.0053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0.0006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Qatar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-0.0026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0.0151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0.0081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0.0002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Russia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0.0041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0.0033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0.0387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0.0192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0.0117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Saint Kitts and Nevis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0.0095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0.0050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0.0003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Saint Lucia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-0.0023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0.0140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0.0069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0.0006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Saint Pierre and Miquelon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-0.0074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-0.0048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0.0245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0.0142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0.0006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Saint Vincent and the Grenadines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-0.0037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-0.0022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0.0163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0.0087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0.0014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Samoa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0.0090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0.0039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0.0001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Sao Tome and Principe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-0.0052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-0.0027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0.0025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Saudi Arabia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0.0061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0.0012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Senegal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-0.0151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0.0081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-0.0085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0.0047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0.0368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0.0109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0.0317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0.0173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Serbia and Montenegro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0.0072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Seychelles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-0.0021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-0.0010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0.0137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0.0063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0.0008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Sierra Leone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-0.0057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-0.0035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0.0032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0.0133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0.0032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Singapore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-0.0010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Slovenia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-0.0031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Solomon Islands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-0.0017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-0.0010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0.0110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0.0045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0.0007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Somalia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-0.0044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-0.0020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0.0216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0.0037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0.0120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0.0032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South Korea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-0.0038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-0.0020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0.0223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0.0034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0.0145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0.0063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Sri Lanka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-0.0057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-0.0027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0.0233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0.0129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0.0031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Sudan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0.0098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0.0057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0.0003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Suriname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-0.0069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-0.0037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0.0273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0.0068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0.0152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0.0056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Sweden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-0.0034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-0.0017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0.0253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0.0296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0.0055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Syria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0.0065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0.0001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Taiwan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0.0050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0.0005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Tanzania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-0.0020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-0.0010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0.0130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0.0058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0.0005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Thailand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-0.0012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0.0177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0.0077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0.0025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Togo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-0.0083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-0.0048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0.0240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0.0218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0.0056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Tonga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0.0074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0.0039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0.0001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Trinidad and Tobago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-0.0054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-0.0034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0.0176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0.0042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Tunisia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0.0111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0.0008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Turkey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0.0083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0.0222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0.0070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Tuvalu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0.0116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0.0053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0.0011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United Arab Emirates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-0.0048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-0.0016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0.0190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0.0112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0.0023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Uruguay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-0.0087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-0.0046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0.0284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0.0052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0.0144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0.0065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-0.0023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0.0044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-0.0013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0.0026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0.0278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0.0180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0.0172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0.0151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Vanuatu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0.0085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0.0036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0.0002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Venezuela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-0.0086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0.0052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-0.0053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0.0030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0.0219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0.0127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0.0188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Vietnam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-0.0014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-0.0005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0.0127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0.0063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0.0036</w:t>
            </w:r>
          </w:p>
        </w:tc>
      </w:tr>
      <w:tr w:rsidR="00943C81" w:rsidRPr="008144DF" w:rsidTr="002B3F1D">
        <w:trPr>
          <w:trHeight w:val="29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Yemen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-0.0066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0.0042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-0.0027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0.0019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0.0281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0.0044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0.0172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43C81" w:rsidRPr="008144DF" w:rsidRDefault="00943C81" w:rsidP="002B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4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0.0044</w:t>
            </w:r>
          </w:p>
        </w:tc>
      </w:tr>
    </w:tbl>
    <w:p w:rsidR="00943C81" w:rsidRPr="008144DF" w:rsidRDefault="00943C81" w:rsidP="00943C81">
      <w:pPr>
        <w:rPr>
          <w:rFonts w:ascii="Arial" w:hAnsi="Arial" w:cs="Arial"/>
          <w:sz w:val="14"/>
          <w:szCs w:val="14"/>
        </w:rPr>
      </w:pPr>
    </w:p>
    <w:p w:rsidR="00943C81" w:rsidRPr="00714846" w:rsidRDefault="00943C81" w:rsidP="00943C81">
      <w:pPr>
        <w:rPr>
          <w:sz w:val="16"/>
          <w:szCs w:val="16"/>
        </w:rPr>
      </w:pPr>
    </w:p>
    <w:p w:rsidR="00A360D6" w:rsidRPr="00B45FC3" w:rsidRDefault="00943C81" w:rsidP="00B45FC3">
      <w:pPr>
        <w:rPr>
          <w:rFonts w:eastAsia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2" w:name="_Toc343020462"/>
      <w:bookmarkStart w:id="3" w:name="_Toc343082486"/>
      <w:r w:rsidR="00B45FC3" w:rsidRPr="00B45FC3">
        <w:rPr>
          <w:rFonts w:ascii="Times New Roman" w:eastAsiaTheme="majorEastAsia" w:hAnsi="Times New Roman" w:cstheme="majorBidi"/>
          <w:b/>
          <w:bCs/>
          <w:sz w:val="20"/>
          <w:szCs w:val="28"/>
        </w:rPr>
        <w:lastRenderedPageBreak/>
        <w:t>R</w:t>
      </w:r>
      <w:r w:rsidRPr="00B45FC3">
        <w:rPr>
          <w:rFonts w:eastAsia="Times New Roman"/>
          <w:b/>
        </w:rPr>
        <w:t>eferences</w:t>
      </w:r>
      <w:bookmarkEnd w:id="2"/>
      <w:bookmarkEnd w:id="3"/>
    </w:p>
    <w:p w:rsidR="00B45FC3" w:rsidRPr="00B45FC3" w:rsidRDefault="00532BA5" w:rsidP="00B45FC3">
      <w:pPr>
        <w:spacing w:line="240" w:lineRule="auto"/>
        <w:ind w:left="720" w:hanging="720"/>
        <w:rPr>
          <w:rFonts w:ascii="Calibri" w:eastAsia="Times New Roman" w:hAnsi="Calibri" w:cs="Times New Roman"/>
          <w:noProof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fldChar w:fldCharType="begin"/>
      </w:r>
      <w:r>
        <w:rPr>
          <w:rFonts w:ascii="Times New Roman" w:eastAsia="Times New Roman" w:hAnsi="Times New Roman" w:cs="Times New Roman"/>
          <w:sz w:val="18"/>
          <w:szCs w:val="18"/>
        </w:rPr>
        <w:instrText xml:space="preserve"> ADDIN EN.REFLIST </w:instrText>
      </w:r>
      <w:r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bookmarkStart w:id="4" w:name="_ENREF_1"/>
      <w:r w:rsidR="00B45FC3" w:rsidRPr="00B45FC3">
        <w:rPr>
          <w:rFonts w:ascii="Calibri" w:eastAsia="Times New Roman" w:hAnsi="Calibri" w:cs="Times New Roman"/>
          <w:noProof/>
          <w:szCs w:val="18"/>
        </w:rPr>
        <w:t>1. Halpern BS, Longo C, Hardy D, McLeod KL, Samhouri JF, et al. (2012) An index to assess the health and benefits of the global ocean. Nature 488: 615-620.</w:t>
      </w:r>
      <w:bookmarkEnd w:id="4"/>
    </w:p>
    <w:p w:rsidR="00B45FC3" w:rsidRDefault="00B45FC3" w:rsidP="00B45FC3">
      <w:pPr>
        <w:spacing w:line="240" w:lineRule="auto"/>
        <w:rPr>
          <w:rFonts w:ascii="Calibri" w:eastAsia="Times New Roman" w:hAnsi="Calibri" w:cs="Times New Roman"/>
          <w:noProof/>
          <w:szCs w:val="18"/>
        </w:rPr>
      </w:pPr>
    </w:p>
    <w:p w:rsidR="00532BA5" w:rsidRPr="002C5BAF" w:rsidRDefault="00532BA5" w:rsidP="00943C81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bookmarkStart w:id="5" w:name="_GoBack"/>
      <w:bookmarkEnd w:id="5"/>
    </w:p>
    <w:sectPr w:rsidR="00532BA5" w:rsidRPr="002C5BAF" w:rsidSect="00396911">
      <w:headerReference w:type="default" r:id="rId8"/>
      <w:pgSz w:w="12240" w:h="15840"/>
      <w:pgMar w:top="576" w:right="576" w:bottom="576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614" w:rsidRDefault="00693614" w:rsidP="00BF3CFB">
      <w:pPr>
        <w:spacing w:after="0" w:line="240" w:lineRule="auto"/>
      </w:pPr>
      <w:r>
        <w:separator/>
      </w:r>
    </w:p>
  </w:endnote>
  <w:endnote w:type="continuationSeparator" w:id="0">
    <w:p w:rsidR="00693614" w:rsidRDefault="00693614" w:rsidP="00BF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614" w:rsidRDefault="00693614" w:rsidP="00BF3CFB">
      <w:pPr>
        <w:spacing w:after="0" w:line="240" w:lineRule="auto"/>
      </w:pPr>
      <w:r>
        <w:separator/>
      </w:r>
    </w:p>
  </w:footnote>
  <w:footnote w:type="continuationSeparator" w:id="0">
    <w:p w:rsidR="00693614" w:rsidRDefault="00693614" w:rsidP="00BF3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8257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42F7C" w:rsidRDefault="00542F7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F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2F7C" w:rsidRDefault="00542F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ezffxsf1awv9se0af9vpfw8ps5pe2vw9vap&quot;&gt;References&lt;record-ids&gt;&lt;item&gt;1966&lt;/item&gt;&lt;/record-ids&gt;&lt;/item&gt;&lt;/Libraries&gt;"/>
  </w:docVars>
  <w:rsids>
    <w:rsidRoot w:val="004F531D"/>
    <w:rsid w:val="00012499"/>
    <w:rsid w:val="00014FE4"/>
    <w:rsid w:val="00015A11"/>
    <w:rsid w:val="00033226"/>
    <w:rsid w:val="00037EA1"/>
    <w:rsid w:val="00041123"/>
    <w:rsid w:val="0004454C"/>
    <w:rsid w:val="00064DA1"/>
    <w:rsid w:val="000733E8"/>
    <w:rsid w:val="00083301"/>
    <w:rsid w:val="00085A06"/>
    <w:rsid w:val="00112ECB"/>
    <w:rsid w:val="001147A0"/>
    <w:rsid w:val="001430A4"/>
    <w:rsid w:val="00151BBC"/>
    <w:rsid w:val="001744BF"/>
    <w:rsid w:val="001D64C9"/>
    <w:rsid w:val="001E573B"/>
    <w:rsid w:val="001E6BB0"/>
    <w:rsid w:val="001F7A55"/>
    <w:rsid w:val="0020227A"/>
    <w:rsid w:val="00220E15"/>
    <w:rsid w:val="0025741A"/>
    <w:rsid w:val="002924DA"/>
    <w:rsid w:val="00295232"/>
    <w:rsid w:val="002B3F1D"/>
    <w:rsid w:val="002C5BAF"/>
    <w:rsid w:val="003929FD"/>
    <w:rsid w:val="00396911"/>
    <w:rsid w:val="00405F79"/>
    <w:rsid w:val="00430B02"/>
    <w:rsid w:val="00440CFF"/>
    <w:rsid w:val="00477EF3"/>
    <w:rsid w:val="00485613"/>
    <w:rsid w:val="004A3FDB"/>
    <w:rsid w:val="004A6906"/>
    <w:rsid w:val="004F531D"/>
    <w:rsid w:val="00516527"/>
    <w:rsid w:val="00532BA5"/>
    <w:rsid w:val="00542F7C"/>
    <w:rsid w:val="00547499"/>
    <w:rsid w:val="0056226C"/>
    <w:rsid w:val="00620113"/>
    <w:rsid w:val="00683FF6"/>
    <w:rsid w:val="00686BAB"/>
    <w:rsid w:val="00693614"/>
    <w:rsid w:val="006A7ED0"/>
    <w:rsid w:val="006D34FB"/>
    <w:rsid w:val="006E0DFE"/>
    <w:rsid w:val="006E1209"/>
    <w:rsid w:val="006E4A87"/>
    <w:rsid w:val="006F04FA"/>
    <w:rsid w:val="00717A2D"/>
    <w:rsid w:val="00751064"/>
    <w:rsid w:val="0076321A"/>
    <w:rsid w:val="007743B7"/>
    <w:rsid w:val="007C0482"/>
    <w:rsid w:val="007C5484"/>
    <w:rsid w:val="007D484E"/>
    <w:rsid w:val="007D5CC4"/>
    <w:rsid w:val="007E295B"/>
    <w:rsid w:val="007E2C14"/>
    <w:rsid w:val="007E7820"/>
    <w:rsid w:val="00802935"/>
    <w:rsid w:val="00831EAD"/>
    <w:rsid w:val="008363F0"/>
    <w:rsid w:val="00881678"/>
    <w:rsid w:val="008A4C20"/>
    <w:rsid w:val="008C0101"/>
    <w:rsid w:val="008F40B7"/>
    <w:rsid w:val="008F6B8A"/>
    <w:rsid w:val="009044FA"/>
    <w:rsid w:val="00910605"/>
    <w:rsid w:val="00913EE4"/>
    <w:rsid w:val="00916629"/>
    <w:rsid w:val="0092253F"/>
    <w:rsid w:val="00925F9E"/>
    <w:rsid w:val="00943C81"/>
    <w:rsid w:val="00970D5B"/>
    <w:rsid w:val="009E4AE5"/>
    <w:rsid w:val="009E55FB"/>
    <w:rsid w:val="009F2E6A"/>
    <w:rsid w:val="00A26172"/>
    <w:rsid w:val="00A360D6"/>
    <w:rsid w:val="00A40210"/>
    <w:rsid w:val="00A52D64"/>
    <w:rsid w:val="00A6515B"/>
    <w:rsid w:val="00A76438"/>
    <w:rsid w:val="00A80AD6"/>
    <w:rsid w:val="00AA68BB"/>
    <w:rsid w:val="00B00D9C"/>
    <w:rsid w:val="00B22FD1"/>
    <w:rsid w:val="00B25672"/>
    <w:rsid w:val="00B43109"/>
    <w:rsid w:val="00B45FC3"/>
    <w:rsid w:val="00B821F7"/>
    <w:rsid w:val="00B90E04"/>
    <w:rsid w:val="00B93B92"/>
    <w:rsid w:val="00B96EEB"/>
    <w:rsid w:val="00BA6151"/>
    <w:rsid w:val="00BC2EF6"/>
    <w:rsid w:val="00BF06D0"/>
    <w:rsid w:val="00BF3CFB"/>
    <w:rsid w:val="00C102B9"/>
    <w:rsid w:val="00C3401B"/>
    <w:rsid w:val="00C43AE2"/>
    <w:rsid w:val="00C61A11"/>
    <w:rsid w:val="00C80FBD"/>
    <w:rsid w:val="00C841B3"/>
    <w:rsid w:val="00CA1ACC"/>
    <w:rsid w:val="00CE116F"/>
    <w:rsid w:val="00CF2E84"/>
    <w:rsid w:val="00D513CC"/>
    <w:rsid w:val="00D617AD"/>
    <w:rsid w:val="00D747BD"/>
    <w:rsid w:val="00D87EC3"/>
    <w:rsid w:val="00DD6337"/>
    <w:rsid w:val="00DE57A8"/>
    <w:rsid w:val="00DF7A84"/>
    <w:rsid w:val="00E063BE"/>
    <w:rsid w:val="00E11591"/>
    <w:rsid w:val="00E148FE"/>
    <w:rsid w:val="00E21F56"/>
    <w:rsid w:val="00E4201C"/>
    <w:rsid w:val="00EB50A4"/>
    <w:rsid w:val="00EC41E5"/>
    <w:rsid w:val="00ED257A"/>
    <w:rsid w:val="00EE385E"/>
    <w:rsid w:val="00F00DF6"/>
    <w:rsid w:val="00F02B0C"/>
    <w:rsid w:val="00F35FF7"/>
    <w:rsid w:val="00F440C7"/>
    <w:rsid w:val="00F62221"/>
    <w:rsid w:val="00F64647"/>
    <w:rsid w:val="00F66A1B"/>
    <w:rsid w:val="00F80DCD"/>
    <w:rsid w:val="00F84860"/>
    <w:rsid w:val="00F8626D"/>
    <w:rsid w:val="00FC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385E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4F531D"/>
  </w:style>
  <w:style w:type="character" w:styleId="Hyperlink">
    <w:name w:val="Hyperlink"/>
    <w:basedOn w:val="DefaultParagraphFont"/>
    <w:uiPriority w:val="99"/>
    <w:unhideWhenUsed/>
    <w:rsid w:val="004F531D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F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4F531D"/>
  </w:style>
  <w:style w:type="table" w:styleId="TableGrid">
    <w:name w:val="Table Grid"/>
    <w:basedOn w:val="TableNormal"/>
    <w:uiPriority w:val="59"/>
    <w:rsid w:val="00922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A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CFB"/>
  </w:style>
  <w:style w:type="paragraph" w:styleId="Footer">
    <w:name w:val="footer"/>
    <w:basedOn w:val="Normal"/>
    <w:link w:val="FooterChar"/>
    <w:uiPriority w:val="99"/>
    <w:unhideWhenUsed/>
    <w:rsid w:val="00BF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CFB"/>
  </w:style>
  <w:style w:type="paragraph" w:customStyle="1" w:styleId="xl66">
    <w:name w:val="xl66"/>
    <w:basedOn w:val="Normal"/>
    <w:rsid w:val="0094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102B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2B9"/>
    <w:pPr>
      <w:numPr>
        <w:ilvl w:val="1"/>
      </w:numPr>
    </w:pPr>
    <w:rPr>
      <w:rFonts w:ascii="Times New Roman" w:eastAsiaTheme="majorEastAsia" w:hAnsi="Times New Roman" w:cstheme="majorBidi"/>
      <w:b/>
      <w:iCs/>
      <w:spacing w:val="15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02B9"/>
    <w:rPr>
      <w:rFonts w:ascii="Times New Roman" w:eastAsiaTheme="majorEastAsia" w:hAnsi="Times New Roman" w:cstheme="majorBidi"/>
      <w:b/>
      <w:iCs/>
      <w:spacing w:val="15"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10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E385E"/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E385E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E385E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385E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4F531D"/>
  </w:style>
  <w:style w:type="character" w:styleId="Hyperlink">
    <w:name w:val="Hyperlink"/>
    <w:basedOn w:val="DefaultParagraphFont"/>
    <w:uiPriority w:val="99"/>
    <w:unhideWhenUsed/>
    <w:rsid w:val="004F531D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F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4F531D"/>
  </w:style>
  <w:style w:type="table" w:styleId="TableGrid">
    <w:name w:val="Table Grid"/>
    <w:basedOn w:val="TableNormal"/>
    <w:uiPriority w:val="59"/>
    <w:rsid w:val="00922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A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CFB"/>
  </w:style>
  <w:style w:type="paragraph" w:styleId="Footer">
    <w:name w:val="footer"/>
    <w:basedOn w:val="Normal"/>
    <w:link w:val="FooterChar"/>
    <w:uiPriority w:val="99"/>
    <w:unhideWhenUsed/>
    <w:rsid w:val="00BF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CFB"/>
  </w:style>
  <w:style w:type="paragraph" w:customStyle="1" w:styleId="xl66">
    <w:name w:val="xl66"/>
    <w:basedOn w:val="Normal"/>
    <w:rsid w:val="0094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102B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2B9"/>
    <w:pPr>
      <w:numPr>
        <w:ilvl w:val="1"/>
      </w:numPr>
    </w:pPr>
    <w:rPr>
      <w:rFonts w:ascii="Times New Roman" w:eastAsiaTheme="majorEastAsia" w:hAnsi="Times New Roman" w:cstheme="majorBidi"/>
      <w:b/>
      <w:iCs/>
      <w:spacing w:val="15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02B9"/>
    <w:rPr>
      <w:rFonts w:ascii="Times New Roman" w:eastAsiaTheme="majorEastAsia" w:hAnsi="Times New Roman" w:cstheme="majorBidi"/>
      <w:b/>
      <w:iCs/>
      <w:spacing w:val="15"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10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E385E"/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E385E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E385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atabank.worldbank.org/databank/download/WDIandGDF_excel.zi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6748</Words>
  <Characters>38468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User</dc:creator>
  <cp:lastModifiedBy>Camilo Mora</cp:lastModifiedBy>
  <cp:revision>2</cp:revision>
  <cp:lastPrinted>2012-12-13T02:15:00Z</cp:lastPrinted>
  <dcterms:created xsi:type="dcterms:W3CDTF">2013-03-25T19:46:00Z</dcterms:created>
  <dcterms:modified xsi:type="dcterms:W3CDTF">2013-03-25T19:46:00Z</dcterms:modified>
</cp:coreProperties>
</file>